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B7" w:rsidRDefault="009A4EB7">
      <w:pPr>
        <w:spacing w:after="280" w:line="360" w:lineRule="atLeast"/>
        <w:jc w:val="left"/>
        <w:rPr>
          <w:rFonts w:ascii="Arial" w:hAnsi="Times New Roman"/>
          <w:b/>
          <w:sz w:val="39"/>
          <w:szCs w:val="39"/>
        </w:rPr>
      </w:pPr>
    </w:p>
    <w:p w:rsidR="001C54C2" w:rsidRDefault="00E41B4B">
      <w:pPr>
        <w:spacing w:after="280" w:line="360" w:lineRule="atLeast"/>
        <w:jc w:val="left"/>
        <w:rPr>
          <w:rFonts w:ascii="Arial" w:eastAsia="Arial" w:hAnsi="Arial"/>
          <w:sz w:val="39"/>
          <w:szCs w:val="39"/>
        </w:rPr>
      </w:pPr>
      <w:r>
        <w:rPr>
          <w:noProof/>
        </w:rPr>
        <w:drawing>
          <wp:anchor distT="0" distB="0" distL="107950" distR="0" simplePos="0" relativeHeight="251624960" behindDoc="0" locked="0" layoutInCell="1" allowOverlap="1">
            <wp:simplePos x="0" y="0"/>
            <wp:positionH relativeFrom="column">
              <wp:posOffset>3848105</wp:posOffset>
            </wp:positionH>
            <wp:positionV relativeFrom="line">
              <wp:posOffset>-304804</wp:posOffset>
            </wp:positionV>
            <wp:extent cx="1268730" cy="963930"/>
            <wp:effectExtent l="19050" t="0" r="9525" b="0"/>
            <wp:wrapSquare wrapText="bothSides"/>
            <wp:docPr id="9" name="Picture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964564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Times New Roman"/>
          <w:b/>
          <w:sz w:val="39"/>
          <w:szCs w:val="39"/>
        </w:rPr>
        <w:t>Ghada</w:t>
      </w:r>
      <w:proofErr w:type="spellEnd"/>
      <w:r>
        <w:rPr>
          <w:rFonts w:ascii="Arial" w:hAnsi="Times New Roman"/>
          <w:b/>
          <w:sz w:val="39"/>
          <w:szCs w:val="39"/>
        </w:rPr>
        <w:t xml:space="preserve"> Francis</w:t>
      </w:r>
      <w:r>
        <w:rPr>
          <w:rFonts w:ascii="Arial" w:hAnsi="Times New Roman"/>
          <w:b/>
          <w:sz w:val="39"/>
          <w:szCs w:val="39"/>
        </w:rPr>
        <w:br/>
      </w:r>
      <w:r>
        <w:rPr>
          <w:rFonts w:ascii="Arial" w:hAnsi="Times New Roman"/>
          <w:b/>
          <w:color w:val="DDBB00"/>
          <w:sz w:val="39"/>
          <w:szCs w:val="39"/>
        </w:rPr>
        <w:t>FINANCIAL MANAGER</w:t>
      </w:r>
    </w:p>
    <w:p w:rsidR="001C54C2" w:rsidRDefault="00E41B4B">
      <w:pPr>
        <w:spacing w:before="280" w:after="150" w:line="384" w:lineRule="atLeast"/>
        <w:jc w:val="left"/>
        <w:rPr>
          <w:rFonts w:ascii="Arial" w:eastAsia="Arial" w:hAnsi="Arial"/>
          <w:sz w:val="18"/>
          <w:szCs w:val="18"/>
        </w:rPr>
      </w:pPr>
      <w:r>
        <w:rPr>
          <w:rFonts w:ascii="Arial" w:hAnsi="Times New Roman"/>
          <w:b/>
          <w:sz w:val="18"/>
          <w:szCs w:val="18"/>
          <w:u w:val="single"/>
        </w:rPr>
        <w:t>Email Address:</w:t>
      </w:r>
      <w:r>
        <w:rPr>
          <w:rFonts w:ascii="Arial" w:hAnsi="Times New Roman"/>
          <w:sz w:val="18"/>
          <w:szCs w:val="18"/>
        </w:rPr>
        <w:t xml:space="preserve"> </w:t>
      </w:r>
      <w:r>
        <w:rPr>
          <w:rFonts w:ascii="Arial" w:hAnsi="Times New Roman"/>
          <w:color w:val="0033AA"/>
          <w:sz w:val="18"/>
          <w:szCs w:val="18"/>
          <w:u w:val="single"/>
        </w:rPr>
        <w:t>ghadafrancis@hotmail.com</w:t>
      </w:r>
      <w:r>
        <w:rPr>
          <w:rFonts w:ascii="Arial" w:hAnsi="Times New Roman"/>
          <w:sz w:val="18"/>
          <w:szCs w:val="18"/>
        </w:rPr>
        <w:br/>
      </w:r>
      <w:r>
        <w:rPr>
          <w:rFonts w:ascii="Arial" w:hAnsi="Times New Roman"/>
          <w:b/>
          <w:sz w:val="18"/>
          <w:szCs w:val="18"/>
          <w:u w:val="single"/>
        </w:rPr>
        <w:t>Mobile Phone Number:</w:t>
      </w:r>
      <w:r>
        <w:rPr>
          <w:rFonts w:ascii="Arial" w:hAnsi="Times New Roman"/>
          <w:sz w:val="18"/>
          <w:szCs w:val="18"/>
        </w:rPr>
        <w:t xml:space="preserve"> +961.3438316</w:t>
      </w:r>
    </w:p>
    <w:p w:rsidR="001C54C2" w:rsidRDefault="00E41B4B">
      <w:pPr>
        <w:jc w:val="left"/>
        <w:rPr>
          <w:rFonts w:ascii="Arial" w:eastAsia="Arial" w:hAnsi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0" cy="127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F79A" id="Rectangle 5" o:spid="_x0000_s1026" style="position:absolute;margin-left:0;margin-top:0;width:0;height:1pt;z-index:2516249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c2eAIAAPQEAAAOAAAAZHJzL2Uyb0RvYy54bWysVNuO0zAQfUfiHyy/d3NRum2ipqtuSxHS&#10;AisWPsC1ncbCsY3tNl0Q/87YaUsLPCBEHhyPPT4+M2fGs7tDJ9GeWye0qnF2k2LEFdVMqG2NP31c&#10;j6YYOU8UI1IrXuNn7vDd/OWLWW8qnutWS8YtAhDlqt7UuPXeVEniaMs74m604Qo2G2074sG024RZ&#10;0gN6J5M8TW+TXltmrKbcOVhdDZt4HvGbhlP/vmkc90jWGLj5ONo4bsKYzGek2lpiWkGPNMg/sOiI&#10;UHDpGWpFPEE7K36D6gS12unG31DdJbppBOUxBogmS3+J5qklhsdYIDnOnNPk/h8sfbd/tEiwGhcY&#10;KdKBRB8gaURtJUfjkJ7euAq8nsyjDQE686DpZ4eUXrbgxRfW6r7lhAGpLPgnVweC4eAo2vRvNQN0&#10;svM6ZurQ2C4AQg7QIQryfBaEHzyiwyKF1SyfpFGqhFSnY8Y6/5rrDoVJjS2QjrBk/+B8oEGqk0uk&#10;raVgayFlNOx2s5QW7QlUxWK5mJZlZA7RXbpJFZyVDscGxGEF2MEdYS/wjCp/K7O8SO/zcrS+nU5G&#10;xboYj8pJOh2lWXlf3qZFWazW3wPBrKhawRhXD0LxU8Vlxd8peqz9oVZizaG+xuU4H8fYr9i7yyDT&#10;+P0pyE54aEApuhpPz06kCoq+UgzCJpUnQg7z5Jp+zDLk4PSPWYn6B8mH0tlo9gzyWw0iQQPCUwGT&#10;VtuvGPXQdjV2X3bEcozkGwUlVGZFEfo0GsV4koNhL3c2lztEUYCqscdomC790Ns7Y8W2hZuymBil&#10;F1B2jYiFEUpyYHUsVmitGMHxGQi9e2lHr5+P1fwHAAAA//8DAFBLAwQUAAYACAAAACEAVgW9utYA&#10;AAAAAQAADwAAAGRycy9kb3ducmV2LnhtbEyPQU/DMAyF70j8h8hI3FjaIU1Qmk6AxKXisrHdvcZr&#10;qyVO1WRr9+8xXOBiPetZ730u17N36kJj7AMbyBcZKOIm2J5bA7uvj4cnUDEhW3SBycCVIqyr25sS&#10;Cxsm3tBlm1olIRwLNNClNBRax6Yjj3ERBmLxjmH0mGQdW21HnCTcO73MspX22LM0dDjQe0fNaXv2&#10;Bhp/uk77fPM5ueF5VT/W+/r4lhtzfze/voBKNKe/Y/jBF3SohOkQzmyjcgbkkfQ7xRN9MLDMQFel&#10;/g9efQMAAP//AwBQSwECLQAUAAYACAAAACEAtoM4kv4AAADhAQAAEwAAAAAAAAAAAAAAAAAAAAAA&#10;W0NvbnRlbnRfVHlwZXNdLnhtbFBLAQItABQABgAIAAAAIQA4/SH/1gAAAJQBAAALAAAAAAAAAAAA&#10;AAAAAC8BAABfcmVscy8ucmVsc1BLAQItABQABgAIAAAAIQC+xZc2eAIAAPQEAAAOAAAAAAAAAAAA&#10;AAAAAC4CAABkcnMvZTJvRG9jLnhtbFBLAQItABQABgAIAAAAIQBWBb261gAAAAABAAAPAAAAAAAA&#10;AAAAAAAAANIEAABkcnMvZG93bnJldi54bWxQSwUGAAAAAAQABADzAAAA1QUAAAAA&#10;" fillcolor="#aca899" stroked="f">
                <w10:wrap anchory="line"/>
              </v:rect>
            </w:pict>
          </mc:Fallback>
        </mc:AlternateContent>
      </w:r>
    </w:p>
    <w:p w:rsidR="001C54C2" w:rsidRDefault="00E41B4B">
      <w:pPr>
        <w:spacing w:before="280" w:after="150" w:line="336" w:lineRule="atLeast"/>
        <w:jc w:val="left"/>
        <w:rPr>
          <w:rFonts w:ascii="Arial" w:eastAsia="Arial" w:hAnsi="Arial"/>
          <w:sz w:val="21"/>
          <w:szCs w:val="21"/>
        </w:rPr>
      </w:pPr>
      <w:r>
        <w:rPr>
          <w:rFonts w:ascii="Arial" w:hAnsi="Times New Roman"/>
          <w:b/>
          <w:sz w:val="21"/>
          <w:szCs w:val="21"/>
        </w:rPr>
        <w:t>Career Objective</w:t>
      </w:r>
    </w:p>
    <w:p w:rsidR="001C54C2" w:rsidRDefault="00E41B4B">
      <w:pPr>
        <w:spacing w:before="280" w:after="150" w:line="384" w:lineRule="atLeast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SHARE MY EDUCATION AND MY EXPERIENCE IN ORDER TO ACHIEVE THE COMPANY'S OBJECTIVES.</w:t>
      </w:r>
    </w:p>
    <w:p w:rsidR="001C54C2" w:rsidRDefault="00E41B4B">
      <w:pPr>
        <w:jc w:val="left"/>
        <w:rPr>
          <w:rFonts w:ascii="Arial" w:eastAsia="Arial" w:hAnsi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0" cy="127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03CC6" id="Rectangle 4" o:spid="_x0000_s1026" style="position:absolute;margin-left:0;margin-top:0;width:0;height:1pt;z-index:251624963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CVeAIAAPQEAAAOAAAAZHJzL2Uyb0RvYy54bWysVNuO0zAQfUfiHyy/t7mQbpto01W3pQhp&#10;gRULH+DaTmPh2MZ2m+4i/p2x05Yu8IAQeXA89vj4zJwZX98cOon23DqhVY2zcYoRV1QzobY1/vxp&#10;PZph5DxRjEiteI0fucM385cvrntT8Vy3WjJuEYAoV/Wmxq33pkoSR1veETfWhivYbLTtiAfTbhNm&#10;SQ/onUzyNL1Kem2ZsZpy52B1NWziecRvGk79h6Zx3CNZY+Dm42jjuAljMr8m1dYS0wp6pEH+gUVH&#10;hIJLz1Ar4gnaWfEbVCeo1U43fkx1l+imEZTHGCCaLP0lmoeWGB5jgeQ4c06T+3+w9P3+3iLBavwK&#10;I0U6kOgjJI2oreSoCOnpjavA68Hc2xCgM3eafnFI6WULXnxhre5bThiQyoJ/8uxAMBwcRZv+nWaA&#10;TnZex0wdGtsFQMgBOkRBHs+C8INHdFiksJrl0zRKlZDqdMxY599w3aEwqbEF0hGW7O+cDzRIdXKJ&#10;tLUUbC2kjIbdbpbSoj2BqlgsF7OyjMwhuks3qYKz0uHYgDisADu4I+wFnlHlb2WWF+ltXo7WV7Pp&#10;qFgXk1E5TWejNCtvy6u0KIvV+nsgmBVVKxjj6k4ofqq4rPg7RY+1P9RKrDnU17ic5JMY+zP27jLI&#10;NH5/CrITHhpQiq7Gs7MTqYKirxWDsEnliZDDPHlOP2YZcnD6x6xE/YPkQ+lsNHsE+a0GkaAB4amA&#10;SavtE0Y9tF2N3dcdsRwj+VZBCZVZUYQ+jUYxmeZg2MudzeUOURSgauwxGqZLP/T2zlixbeGmLCZG&#10;6QWUXSNiYYSSHFgdixVaK0ZwfAZC717a0evnYzX/AQAA//8DAFBLAwQUAAYACAAAACEAVgW9utYA&#10;AAAAAQAADwAAAGRycy9kb3ducmV2LnhtbEyPQU/DMAyF70j8h8hI3FjaIU1Qmk6AxKXisrHdvcZr&#10;qyVO1WRr9+8xXOBiPetZ730u17N36kJj7AMbyBcZKOIm2J5bA7uvj4cnUDEhW3SBycCVIqyr25sS&#10;Cxsm3tBlm1olIRwLNNClNBRax6Yjj3ERBmLxjmH0mGQdW21HnCTcO73MspX22LM0dDjQe0fNaXv2&#10;Bhp/uk77fPM5ueF5VT/W+/r4lhtzfze/voBKNKe/Y/jBF3SohOkQzmyjcgbkkfQ7xRN9MLDMQFel&#10;/g9efQMAAP//AwBQSwECLQAUAAYACAAAACEAtoM4kv4AAADhAQAAEwAAAAAAAAAAAAAAAAAAAAAA&#10;W0NvbnRlbnRfVHlwZXNdLnhtbFBLAQItABQABgAIAAAAIQA4/SH/1gAAAJQBAAALAAAAAAAAAAAA&#10;AAAAAC8BAABfcmVscy8ucmVsc1BLAQItABQABgAIAAAAIQDjmwCVeAIAAPQEAAAOAAAAAAAAAAAA&#10;AAAAAC4CAABkcnMvZTJvRG9jLnhtbFBLAQItABQABgAIAAAAIQBWBb261gAAAAABAAAPAAAAAAAA&#10;AAAAAAAAANIEAABkcnMvZG93bnJldi54bWxQSwUGAAAAAAQABADzAAAA1QUAAAAA&#10;" fillcolor="#aca899" stroked="f">
                <w10:wrap anchory="line"/>
              </v:rect>
            </w:pict>
          </mc:Fallback>
        </mc:AlternateContent>
      </w:r>
    </w:p>
    <w:p w:rsidR="001C54C2" w:rsidRDefault="001C54C2">
      <w:pPr>
        <w:jc w:val="left"/>
        <w:rPr>
          <w:rFonts w:ascii="Arial" w:eastAsia="Arial" w:hAnsi="Arial"/>
          <w:sz w:val="15"/>
          <w:szCs w:val="15"/>
        </w:rPr>
      </w:pPr>
    </w:p>
    <w:p w:rsidR="001C54C2" w:rsidRDefault="00E41B4B">
      <w:pPr>
        <w:spacing w:before="280" w:after="200" w:line="336" w:lineRule="atLeast"/>
        <w:jc w:val="left"/>
        <w:rPr>
          <w:rFonts w:ascii="Arial" w:eastAsia="Arial" w:hAnsi="Arial"/>
          <w:sz w:val="21"/>
          <w:szCs w:val="21"/>
        </w:rPr>
      </w:pPr>
      <w:r>
        <w:rPr>
          <w:rFonts w:ascii="Arial" w:hAnsi="Times New Roman"/>
          <w:b/>
          <w:sz w:val="21"/>
          <w:szCs w:val="21"/>
        </w:rPr>
        <w:t>Professional Experience</w:t>
      </w:r>
    </w:p>
    <w:p w:rsidR="001C54C2" w:rsidRDefault="00E41B4B" w:rsidP="009306D9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October2014- </w:t>
      </w:r>
      <w:r w:rsidR="009306D9">
        <w:rPr>
          <w:rFonts w:ascii="Calibri" w:eastAsia="Calibri" w:hAnsi="Calibri"/>
          <w:sz w:val="22"/>
          <w:szCs w:val="22"/>
        </w:rPr>
        <w:t>February 2018</w:t>
      </w:r>
      <w:r>
        <w:rPr>
          <w:rFonts w:ascii="Calibri" w:eastAsia="Calibri" w:hAnsi="Calibri"/>
          <w:sz w:val="22"/>
          <w:szCs w:val="22"/>
        </w:rPr>
        <w:t xml:space="preserve">: </w:t>
      </w:r>
      <w:r w:rsidR="00D46E48">
        <w:rPr>
          <w:rFonts w:ascii="Calibri" w:eastAsia="Calibri" w:hAnsi="Calibri"/>
          <w:b/>
          <w:bCs/>
          <w:sz w:val="22"/>
          <w:szCs w:val="22"/>
        </w:rPr>
        <w:t>A</w:t>
      </w:r>
      <w:r w:rsidRPr="00D46E48">
        <w:rPr>
          <w:rFonts w:ascii="Calibri" w:eastAsia="Calibri" w:hAnsi="Calibri"/>
          <w:b/>
          <w:bCs/>
          <w:sz w:val="22"/>
          <w:szCs w:val="22"/>
        </w:rPr>
        <w:t xml:space="preserve">dmin and </w:t>
      </w:r>
      <w:r w:rsidR="00D46E48">
        <w:rPr>
          <w:rFonts w:ascii="Calibri" w:eastAsia="Calibri" w:hAnsi="Calibri"/>
          <w:b/>
          <w:bCs/>
          <w:sz w:val="22"/>
          <w:szCs w:val="22"/>
        </w:rPr>
        <w:t>A</w:t>
      </w:r>
      <w:r w:rsidR="00D46E48" w:rsidRPr="00D46E48">
        <w:rPr>
          <w:rFonts w:ascii="Calibri" w:eastAsia="Calibri" w:hAnsi="Calibri"/>
          <w:b/>
          <w:bCs/>
          <w:sz w:val="22"/>
          <w:szCs w:val="22"/>
        </w:rPr>
        <w:t>ccountant</w:t>
      </w:r>
      <w:r w:rsidR="00D46E48">
        <w:rPr>
          <w:rFonts w:ascii="Calibri" w:eastAsia="Calibri" w:hAnsi="Calibri"/>
          <w:sz w:val="22"/>
          <w:szCs w:val="22"/>
        </w:rPr>
        <w:t xml:space="preserve"> </w:t>
      </w:r>
      <w:r w:rsidR="009306D9">
        <w:rPr>
          <w:rFonts w:ascii="Calibri" w:eastAsia="Calibri" w:hAnsi="Calibri"/>
          <w:sz w:val="22"/>
          <w:szCs w:val="22"/>
        </w:rPr>
        <w:t>Manager</w:t>
      </w:r>
    </w:p>
    <w:p w:rsidR="001C54C2" w:rsidRDefault="00E41B4B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</w:t>
      </w:r>
      <w:proofErr w:type="spellStart"/>
      <w:r>
        <w:rPr>
          <w:rFonts w:ascii="Calibri" w:eastAsia="Calibri" w:hAnsi="Calibri"/>
          <w:sz w:val="22"/>
          <w:szCs w:val="22"/>
        </w:rPr>
        <w:t>Masar</w:t>
      </w:r>
      <w:proofErr w:type="spellEnd"/>
      <w:r>
        <w:rPr>
          <w:rFonts w:ascii="Calibri" w:eastAsia="Calibri" w:hAnsi="Calibri"/>
          <w:sz w:val="22"/>
          <w:szCs w:val="22"/>
        </w:rPr>
        <w:t xml:space="preserve"> Association</w:t>
      </w:r>
      <w:r w:rsidR="00D46E48">
        <w:rPr>
          <w:rFonts w:ascii="Calibri" w:eastAsia="Calibri" w:hAnsi="Calibri"/>
          <w:sz w:val="22"/>
          <w:szCs w:val="22"/>
        </w:rPr>
        <w:t xml:space="preserve"> (NGO)</w:t>
      </w:r>
    </w:p>
    <w:p w:rsidR="00D46E48" w:rsidRDefault="00D46E48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proofErr w:type="spellStart"/>
      <w:r>
        <w:rPr>
          <w:rFonts w:ascii="Calibri" w:eastAsia="Calibri" w:hAnsi="Calibri"/>
          <w:sz w:val="22"/>
          <w:szCs w:val="22"/>
        </w:rPr>
        <w:t>Hamra</w:t>
      </w:r>
      <w:proofErr w:type="spellEnd"/>
      <w:r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/>
          <w:sz w:val="22"/>
          <w:szCs w:val="22"/>
        </w:rPr>
        <w:t>Sourati</w:t>
      </w:r>
      <w:proofErr w:type="spellEnd"/>
      <w:r>
        <w:rPr>
          <w:rFonts w:ascii="Calibri" w:eastAsia="Calibri" w:hAnsi="Calibri"/>
          <w:sz w:val="22"/>
          <w:szCs w:val="22"/>
        </w:rPr>
        <w:t xml:space="preserve"> street, </w:t>
      </w:r>
      <w:proofErr w:type="spellStart"/>
      <w:r>
        <w:rPr>
          <w:rFonts w:ascii="Calibri" w:eastAsia="Calibri" w:hAnsi="Calibri"/>
          <w:sz w:val="22"/>
          <w:szCs w:val="22"/>
        </w:rPr>
        <w:t>Chartouni</w:t>
      </w:r>
      <w:proofErr w:type="spellEnd"/>
      <w:r>
        <w:rPr>
          <w:rFonts w:ascii="Calibri" w:eastAsia="Calibri" w:hAnsi="Calibri"/>
          <w:sz w:val="22"/>
          <w:szCs w:val="22"/>
        </w:rPr>
        <w:t xml:space="preserve"> Bldg., 7</w:t>
      </w:r>
      <w:r w:rsidRPr="00D46E48">
        <w:rPr>
          <w:rFonts w:ascii="Calibri" w:eastAsia="Calibri" w:hAnsi="Calibri"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sz w:val="22"/>
          <w:szCs w:val="22"/>
        </w:rPr>
        <w:t xml:space="preserve"> Floor, Apartment 36 &amp; 37, Beirut, Lebanon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-All Accounting transactions from A to Z (from data entry to reconciliation and closing)</w:t>
      </w:r>
    </w:p>
    <w:p w:rsidR="009306D9" w:rsidRDefault="009306D9" w:rsidP="009306D9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 Reporting internally (Weekly, monthly, Quarterly, and Yearly)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 Budgets (prepare budgets for each donor)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- Reporting to Donors depends on their specific templates (LSU, UNICEF, UNHCR, British Council, MFA, Action Aid, UNFPA, HSD, Friedrich Ebert </w:t>
      </w:r>
      <w:proofErr w:type="spellStart"/>
      <w:r>
        <w:rPr>
          <w:rFonts w:ascii="Calibri" w:eastAsia="Calibri" w:hAnsi="Calibri"/>
          <w:sz w:val="22"/>
          <w:szCs w:val="22"/>
        </w:rPr>
        <w:t>Stiftung</w:t>
      </w:r>
      <w:proofErr w:type="spellEnd"/>
      <w:r>
        <w:rPr>
          <w:rFonts w:ascii="Calibri" w:eastAsia="Calibri" w:hAnsi="Calibri"/>
          <w:sz w:val="22"/>
          <w:szCs w:val="22"/>
        </w:rPr>
        <w:t>, UNESCO, SDC, UNRWA, KAS, Legal Agenda, ARC, Rosa Luxemburg Foundation)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 Reconciliations (Cash &amp; Banks)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 HR managements and procedures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- Procurements from A to Z </w:t>
      </w: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</w:p>
    <w:p w:rsidR="009306D9" w:rsidRDefault="009306D9" w:rsidP="00D46E48">
      <w:pPr>
        <w:spacing w:after="200" w:line="276" w:lineRule="auto"/>
        <w:ind w:left="2160"/>
        <w:jc w:val="left"/>
        <w:rPr>
          <w:rFonts w:ascii="Calibri" w:eastAsia="Calibri" w:hAnsi="Calibri"/>
          <w:sz w:val="22"/>
          <w:szCs w:val="22"/>
        </w:rPr>
      </w:pPr>
    </w:p>
    <w:p w:rsidR="00D46E48" w:rsidRDefault="00D46E48" w:rsidP="00502B63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December 2016- </w:t>
      </w:r>
      <w:r w:rsidR="00502B63">
        <w:rPr>
          <w:rFonts w:ascii="Calibri" w:eastAsia="Calibri" w:hAnsi="Calibri"/>
          <w:sz w:val="22"/>
          <w:szCs w:val="22"/>
        </w:rPr>
        <w:t>August 2017</w:t>
      </w:r>
      <w:r>
        <w:rPr>
          <w:rFonts w:ascii="Calibri" w:eastAsia="Calibri" w:hAnsi="Calibri"/>
          <w:sz w:val="22"/>
          <w:szCs w:val="22"/>
        </w:rPr>
        <w:t xml:space="preserve">: </w:t>
      </w:r>
      <w:r w:rsidRPr="00D46E48">
        <w:rPr>
          <w:rFonts w:ascii="Calibri" w:eastAsia="Calibri" w:hAnsi="Calibri"/>
          <w:b/>
          <w:bCs/>
          <w:sz w:val="22"/>
          <w:szCs w:val="22"/>
        </w:rPr>
        <w:t>Part time Investor Relations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51C0A">
        <w:rPr>
          <w:rFonts w:ascii="Calibri" w:eastAsia="Calibri" w:hAnsi="Calibri"/>
          <w:sz w:val="22"/>
          <w:szCs w:val="22"/>
        </w:rPr>
        <w:t>(Temporary contract)</w:t>
      </w:r>
    </w:p>
    <w:p w:rsidR="00D46E48" w:rsidRDefault="00D46E48" w:rsidP="00D46E48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Monty Holding</w:t>
      </w:r>
    </w:p>
    <w:p w:rsidR="00D46E48" w:rsidRDefault="00D46E48" w:rsidP="00D46E48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proofErr w:type="spellStart"/>
      <w:r>
        <w:rPr>
          <w:rFonts w:ascii="Calibri" w:eastAsia="Calibri" w:hAnsi="Calibri"/>
          <w:sz w:val="22"/>
          <w:szCs w:val="22"/>
        </w:rPr>
        <w:t>Hamra</w:t>
      </w:r>
      <w:proofErr w:type="spellEnd"/>
      <w:r>
        <w:rPr>
          <w:rFonts w:ascii="Calibri" w:eastAsia="Calibri" w:hAnsi="Calibri"/>
          <w:sz w:val="22"/>
          <w:szCs w:val="22"/>
        </w:rPr>
        <w:t xml:space="preserve"> street, </w:t>
      </w:r>
      <w:proofErr w:type="spellStart"/>
      <w:r>
        <w:rPr>
          <w:rFonts w:ascii="Calibri" w:eastAsia="Calibri" w:hAnsi="Calibri"/>
          <w:sz w:val="22"/>
          <w:szCs w:val="22"/>
        </w:rPr>
        <w:t>Gefinor</w:t>
      </w:r>
      <w:proofErr w:type="spellEnd"/>
      <w:r>
        <w:rPr>
          <w:rFonts w:ascii="Calibri" w:eastAsia="Calibri" w:hAnsi="Calibri"/>
          <w:sz w:val="22"/>
          <w:szCs w:val="22"/>
        </w:rPr>
        <w:t xml:space="preserve"> center, Bloc E, First floor, Beirut, Lebanon</w:t>
      </w:r>
    </w:p>
    <w:p w:rsidR="00751C0A" w:rsidRDefault="00E41B4B" w:rsidP="00751C0A">
      <w:pPr>
        <w:spacing w:line="336" w:lineRule="atLeast"/>
        <w:ind w:left="2160" w:hanging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666666"/>
          <w:sz w:val="18"/>
          <w:szCs w:val="18"/>
        </w:rPr>
        <w:t>January 2006 - January 2012:</w:t>
      </w:r>
      <w:r>
        <w:rPr>
          <w:rFonts w:ascii="Times New Roman" w:hAnsi="Times New Roman"/>
          <w:color w:val="666666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FINANCIAL MANAGER</w:t>
      </w:r>
      <w:r>
        <w:rPr>
          <w:rFonts w:ascii="Times New Roman" w:hAnsi="Times New Roman"/>
          <w:sz w:val="18"/>
          <w:szCs w:val="18"/>
        </w:rPr>
        <w:br/>
      </w:r>
      <w:r w:rsidR="00751C0A">
        <w:rPr>
          <w:rFonts w:ascii="Times New Roman" w:hAnsi="Times New Roman"/>
          <w:sz w:val="18"/>
          <w:szCs w:val="18"/>
        </w:rPr>
        <w:t xml:space="preserve"> MONTY HOLDING </w:t>
      </w:r>
      <w:r>
        <w:rPr>
          <w:rFonts w:ascii="Times New Roman" w:hAnsi="Times New Roman"/>
          <w:sz w:val="18"/>
          <w:szCs w:val="18"/>
        </w:rPr>
        <w:t xml:space="preserve">      </w:t>
      </w:r>
    </w:p>
    <w:p w:rsidR="00751C0A" w:rsidRDefault="00751C0A" w:rsidP="00751C0A">
      <w:pPr>
        <w:spacing w:line="336" w:lineRule="atLeast"/>
        <w:ind w:left="2160" w:hanging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666666"/>
          <w:sz w:val="18"/>
          <w:szCs w:val="18"/>
        </w:rPr>
        <w:t xml:space="preserve">       </w:t>
      </w:r>
      <w:r w:rsidR="00E41B4B">
        <w:rPr>
          <w:rFonts w:ascii="Times New Roman" w:hAnsi="Times New Roman"/>
          <w:sz w:val="18"/>
          <w:szCs w:val="18"/>
        </w:rPr>
        <w:t xml:space="preserve">                           </w:t>
      </w:r>
      <w:r>
        <w:rPr>
          <w:rFonts w:ascii="Times New Roman" w:hAnsi="Times New Roman"/>
          <w:sz w:val="18"/>
          <w:szCs w:val="18"/>
        </w:rPr>
        <w:t xml:space="preserve">               VERDUN, Lebanon</w:t>
      </w:r>
    </w:p>
    <w:p w:rsidR="001C54C2" w:rsidRDefault="00E41B4B" w:rsidP="00751C0A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  <w:rtl/>
        </w:rPr>
      </w:pPr>
      <w:r>
        <w:rPr>
          <w:rFonts w:ascii="Times New Roman" w:hAnsi="Times New Roman"/>
          <w:b/>
          <w:sz w:val="16"/>
          <w:szCs w:val="16"/>
        </w:rPr>
        <w:t xml:space="preserve">  Company Industry:</w:t>
      </w:r>
      <w:r>
        <w:rPr>
          <w:rFonts w:ascii="Times New Roman" w:hAnsi="Times New Roman"/>
          <w:sz w:val="16"/>
          <w:szCs w:val="16"/>
        </w:rPr>
        <w:t xml:space="preserve"> Holding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b/>
          <w:sz w:val="16"/>
          <w:szCs w:val="16"/>
        </w:rPr>
        <w:t xml:space="preserve">  Job Role/Department:</w:t>
      </w:r>
      <w:r>
        <w:rPr>
          <w:rFonts w:ascii="Times New Roman" w:hAnsi="Times New Roman"/>
          <w:sz w:val="16"/>
          <w:szCs w:val="16"/>
        </w:rPr>
        <w:t xml:space="preserve"> Finance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br/>
        <w:t xml:space="preserve">-Preparing full Feasibility Study for new projects. </w:t>
      </w:r>
      <w:r>
        <w:rPr>
          <w:rFonts w:ascii="Times New Roman" w:hAnsi="Times New Roman"/>
          <w:sz w:val="18"/>
          <w:szCs w:val="18"/>
          <w:cs/>
        </w:rPr>
        <w:t>‎</w:t>
      </w:r>
      <w:r>
        <w:rPr>
          <w:rFonts w:ascii="Times New Roman" w:hAnsi="Times New Roman"/>
          <w:sz w:val="18"/>
          <w:szCs w:val="18"/>
          <w:rtl/>
        </w:rPr>
        <w:t xml:space="preserve"> 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-Prepare Business Plan, implement the Project and also compare the actual with the study. </w:t>
      </w:r>
      <w:r>
        <w:rPr>
          <w:rFonts w:ascii="Times New Roman" w:hAnsi="Times New Roman"/>
          <w:sz w:val="18"/>
          <w:szCs w:val="18"/>
          <w:cs/>
        </w:rPr>
        <w:t>‎</w:t>
      </w:r>
      <w:r>
        <w:rPr>
          <w:rFonts w:ascii="Times New Roman" w:hAnsi="Times New Roman"/>
          <w:sz w:val="18"/>
          <w:szCs w:val="18"/>
          <w:rtl/>
        </w:rPr>
        <w:t xml:space="preserve"> </w:t>
      </w:r>
      <w:r>
        <w:rPr>
          <w:rFonts w:ascii="Times New Roman" w:hAnsi="Times New Roman"/>
          <w:sz w:val="18"/>
          <w:szCs w:val="18"/>
          <w:rtl/>
        </w:rPr>
        <w:br/>
      </w:r>
      <w:r>
        <w:rPr>
          <w:rFonts w:ascii="Times New Roman" w:hAnsi="Times New Roman"/>
          <w:sz w:val="18"/>
          <w:szCs w:val="18"/>
        </w:rPr>
        <w:t xml:space="preserve">-Analyze cash flow, cost controls, and expenses to guide business leaders. Analyze financial </w:t>
      </w:r>
      <w:r>
        <w:rPr>
          <w:rFonts w:ascii="Times New Roman" w:hAnsi="Times New Roman"/>
          <w:sz w:val="18"/>
          <w:szCs w:val="18"/>
          <w:rtl/>
          <w:cs/>
        </w:rPr>
        <w:t>‎statements to pinpoint potential weak area. ‎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C54C2" w:rsidRDefault="00E41B4B" w:rsidP="00D46E48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666666"/>
          <w:sz w:val="18"/>
          <w:szCs w:val="18"/>
        </w:rPr>
        <w:t>-</w:t>
      </w:r>
      <w:r>
        <w:rPr>
          <w:rFonts w:ascii="Times New Roman" w:eastAsia="Calibri" w:hAnsi="Calibri"/>
          <w:sz w:val="18"/>
          <w:szCs w:val="18"/>
        </w:rPr>
        <w:t>Evaluate data pertaining to costs in order to plan budgets.</w:t>
      </w:r>
      <w:r>
        <w:rPr>
          <w:rFonts w:ascii="Times New Roman" w:eastAsia="Calibri" w:hAnsi="Calibri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eastAsia="Calibri" w:hAnsi="Calibri"/>
          <w:sz w:val="18"/>
          <w:szCs w:val="18"/>
        </w:rPr>
        <w:t>Develop and analyze information to assess the current and future financial status of firms.</w:t>
      </w:r>
      <w:r>
        <w:rPr>
          <w:rFonts w:ascii="Times New Roman" w:eastAsia="Calibri" w:hAnsi="Calibri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t>-Prepare Financial Reports monthly, quarterly and yearly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666666"/>
          <w:sz w:val="18"/>
          <w:szCs w:val="18"/>
        </w:rPr>
        <w:tab/>
        <w:t>-</w:t>
      </w:r>
      <w:r>
        <w:rPr>
          <w:rFonts w:ascii="Times New Roman" w:hAnsi="Times New Roman"/>
          <w:sz w:val="18"/>
          <w:szCs w:val="18"/>
        </w:rPr>
        <w:t>Analyze study and comments on customers and suppliers agreements and contracts.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-Control the customers and suppliers payments and statements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 Find Solutions for work improvement &amp; Analysis of the Financial Statements.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-Control Daily accounting transactions and payments.</w:t>
      </w:r>
    </w:p>
    <w:p w:rsidR="001C54C2" w:rsidRDefault="001C54C2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</w:p>
    <w:p w:rsidR="001C54C2" w:rsidRDefault="001C54C2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</w:p>
    <w:p w:rsidR="001C54C2" w:rsidRDefault="00E41B4B">
      <w:pPr>
        <w:spacing w:line="336" w:lineRule="atLeast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2003 - 2005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FINANCIAL ANALYSTS</w:t>
      </w:r>
    </w:p>
    <w:p w:rsidR="001C54C2" w:rsidRDefault="00E41B4B">
      <w:pPr>
        <w:spacing w:after="20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1C54C2" w:rsidRDefault="00E41B4B">
      <w:pPr>
        <w:spacing w:after="200"/>
        <w:jc w:val="left"/>
        <w:rPr>
          <w:rFonts w:ascii="Times New Roman" w:eastAsia="Calibri" w:hAnsi="Calibri"/>
          <w:sz w:val="18"/>
          <w:szCs w:val="18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Times New Roman" w:eastAsia="Calibri" w:hAnsi="Calibri"/>
          <w:sz w:val="18"/>
          <w:szCs w:val="18"/>
        </w:rPr>
        <w:t>As Part time depending on the university's timing semesters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</w:t>
      </w:r>
      <w:r>
        <w:rPr>
          <w:rFonts w:ascii="Times New Roman" w:eastAsia="Calibri" w:hAnsi="Calibri"/>
          <w:sz w:val="18"/>
          <w:szCs w:val="18"/>
        </w:rPr>
        <w:t>Analyze financial information to produce forecasts of business, industry, and economic conditions for use in making investment decisions.</w:t>
      </w:r>
    </w:p>
    <w:p w:rsidR="001C54C2" w:rsidRDefault="00E41B4B">
      <w:pPr>
        <w:spacing w:line="336" w:lineRule="atLeast"/>
        <w:ind w:left="21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-</w:t>
      </w:r>
      <w:r>
        <w:rPr>
          <w:rFonts w:ascii="Times New Roman" w:eastAsia="Calibri" w:hAnsi="Calibri"/>
          <w:sz w:val="18"/>
          <w:szCs w:val="18"/>
        </w:rPr>
        <w:t>Interpret data affecting investment programs, such as price, yield, stability, future trends in investment risks, and economic influences.</w:t>
      </w:r>
      <w:r>
        <w:rPr>
          <w:rFonts w:ascii="Times New Roman" w:eastAsia="Calibri" w:hAnsi="Calibri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br/>
      </w:r>
    </w:p>
    <w:p w:rsidR="001C54C2" w:rsidRDefault="00E41B4B">
      <w:pPr>
        <w:spacing w:line="336" w:lineRule="atLeast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2001 - 2003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ACCOUNTANT &amp; CHIEF ACCOUNTANT</w:t>
      </w:r>
    </w:p>
    <w:p w:rsidR="001C54C2" w:rsidRDefault="00E41B4B">
      <w:pPr>
        <w:spacing w:after="20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1C54C2" w:rsidRDefault="00E41B4B">
      <w:pPr>
        <w:spacing w:after="200"/>
        <w:jc w:val="left"/>
        <w:rPr>
          <w:rFonts w:ascii="Times New Roman" w:eastAsia="Calibri" w:hAnsi="Calibri"/>
          <w:sz w:val="18"/>
          <w:szCs w:val="18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Times New Roman" w:eastAsia="Calibri" w:hAnsi="Calibri"/>
          <w:sz w:val="18"/>
          <w:szCs w:val="18"/>
        </w:rPr>
        <w:t>As Part time depending on the university's timing semesters</w:t>
      </w:r>
    </w:p>
    <w:p w:rsidR="001C54C2" w:rsidRDefault="00E41B4B">
      <w:pPr>
        <w:jc w:val="left"/>
        <w:rPr>
          <w:rFonts w:ascii="Arial" w:eastAsia="Arial" w:hAnsi="Arial"/>
          <w:sz w:val="15"/>
          <w:szCs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96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0" cy="12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33A0" id="Rectangle 3" o:spid="_x0000_s1026" style="position:absolute;margin-left:0;margin-top:0;width:0;height:1pt;z-index:25162496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5/eAIAAPQEAAAOAAAAZHJzL2Uyb0RvYy54bWysVNuO0zAQfUfiHyy/t7mQbpto01W3pQhp&#10;gRULH+DaTmPh2MZ2m+4i/p2x05Yu8IAQeXA89vj4zJwZX98cOon23DqhVY2zcYoRV1QzobY1/vxp&#10;PZph5DxRjEiteI0fucM385cvrntT8Vy3WjJuEYAoV/Wmxq33pkoSR1veETfWhivYbLTtiAfTbhNm&#10;SQ/onUzyNL1Kem2ZsZpy52B1NWziecRvGk79h6Zx3CNZY+Dm42jjuAljMr8m1dYS0wp6pEH+gUVH&#10;hIJLz1Ar4gnaWfEbVCeo1U43fkx1l+imEZTHGCCaLP0lmoeWGB5jgeQ4c06T+3+w9P3+3iLBapxj&#10;pEgHEn2EpBG1lRy9CunpjavA68Hc2xCgM3eafnFI6WULXnxhre5bThiQyoJ/8uxAMBwcRZv+nWaA&#10;TnZex0wdGtsFQMgBOkRBHs+C8INHdFiksJrl0zRKlZDqdMxY599w3aEwqbEF0hGW7O+cDzRIdXKJ&#10;tLUUbC2kjIbdbpbSoj2BqlgsF7OyjMwhuks3qYKz0uHYgDisADu4I+wFnlHlb2WWF+ltXo7WV7Pp&#10;qFgXk1E5TWejNCtvy6u0KIvV+nsgmBVVKxjj6k4ofqq4rPg7RY+1P9RKrDnU17ic5JMY+zP27jLI&#10;NH5/CrITHhpQiq7Gs7MTqYKirxWDsEnliZDDPHlOP2YZcnD6x6xE/YPkQ+lsNHsE+a0GkaAB4amA&#10;SavtE0Y9tF2N3dcdsRwj+VZBCZVZUYQ+jUYxmeZg2MudzeUOURSgauwxGqZLP/T2zlixbeGmLCZG&#10;6QWUXSNiYYSSHFgdixVaK0ZwfAZC717a0evnYzX/AQAA//8DAFBLAwQUAAYACAAAACEAVgW9utYA&#10;AAAAAQAADwAAAGRycy9kb3ducmV2LnhtbEyPQU/DMAyF70j8h8hI3FjaIU1Qmk6AxKXisrHdvcZr&#10;qyVO1WRr9+8xXOBiPetZ730u17N36kJj7AMbyBcZKOIm2J5bA7uvj4cnUDEhW3SBycCVIqyr25sS&#10;Cxsm3tBlm1olIRwLNNClNBRax6Yjj3ERBmLxjmH0mGQdW21HnCTcO73MspX22LM0dDjQe0fNaXv2&#10;Bhp/uk77fPM5ueF5VT/W+/r4lhtzfze/voBKNKe/Y/jBF3SohOkQzmyjcgbkkfQ7xRN9MLDMQFel&#10;/g9efQMAAP//AwBQSwECLQAUAAYACAAAACEAtoM4kv4AAADhAQAAEwAAAAAAAAAAAAAAAAAAAAAA&#10;W0NvbnRlbnRfVHlwZXNdLnhtbFBLAQItABQABgAIAAAAIQA4/SH/1gAAAJQBAAALAAAAAAAAAAAA&#10;AAAAAC8BAABfcmVscy8ucmVsc1BLAQItABQABgAIAAAAIQA1DC5/eAIAAPQEAAAOAAAAAAAAAAAA&#10;AAAAAC4CAABkcnMvZTJvRG9jLnhtbFBLAQItABQABgAIAAAAIQBWBb261gAAAAABAAAPAAAAAAAA&#10;AAAAAAAAANIEAABkcnMvZG93bnJldi54bWxQSwUGAAAAAAQABADzAAAA1QUAAAAA&#10;" fillcolor="#aca899" stroked="f">
                <w10:wrap anchory="line"/>
              </v:rect>
            </w:pict>
          </mc:Fallback>
        </mc:AlternateContent>
      </w:r>
    </w:p>
    <w:p w:rsidR="001C54C2" w:rsidRDefault="00E41B4B">
      <w:pPr>
        <w:spacing w:before="280" w:after="200" w:line="336" w:lineRule="atLeast"/>
        <w:jc w:val="left"/>
        <w:rPr>
          <w:rFonts w:ascii="Arial" w:eastAsia="Arial" w:hAnsi="Arial"/>
          <w:sz w:val="21"/>
          <w:szCs w:val="21"/>
        </w:rPr>
      </w:pPr>
      <w:r>
        <w:rPr>
          <w:rFonts w:ascii="Arial" w:hAnsi="Times New Roman"/>
          <w:b/>
          <w:sz w:val="21"/>
          <w:szCs w:val="21"/>
        </w:rPr>
        <w:t>Education</w:t>
      </w:r>
    </w:p>
    <w:tbl>
      <w:tblPr>
        <w:tblW w:w="9480" w:type="dxa"/>
        <w:tblLayout w:type="fixed"/>
        <w:tblLook w:val="0000" w:firstRow="0" w:lastRow="0" w:firstColumn="0" w:lastColumn="0" w:noHBand="0" w:noVBand="0"/>
      </w:tblPr>
      <w:tblGrid>
        <w:gridCol w:w="2844"/>
        <w:gridCol w:w="6636"/>
      </w:tblGrid>
      <w:tr w:rsidR="001C54C2">
        <w:trPr>
          <w:trHeight w:val="171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August 2017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October 2013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October 2013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June 2013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color w:val="666666"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February 2007:</w:t>
            </w: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Internal Controls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Accountant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Ethical &amp; Sustainable Procurement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HR Management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PWC &amp; UNICEF</w:t>
            </w:r>
          </w:p>
          <w:p w:rsidR="00317820" w:rsidRDefault="00317820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IFRS &amp; Consolidation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Morgan International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VAT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Advisors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Salaries &amp; Wages between Theory &amp; practice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Advisors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Lebanese Labor Law Discussions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NSSF Discussions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Payroll &amp; Tax Calculations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Social Security Calculations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Related Accounting Techniques</w:t>
            </w: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Preparation M.O.F. &amp; NSSF Declarations</w:t>
            </w: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1C54C2">
            <w:pPr>
              <w:wordWrap w:val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NDU</w:t>
            </w:r>
            <w:r>
              <w:rPr>
                <w:rFonts w:ascii="Times New Roman" w:hAnsi="Times New Roman"/>
                <w:sz w:val="18"/>
                <w:szCs w:val="18"/>
              </w:rPr>
              <w:t>, Lebanon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Master's degree, FINANCE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My research project was on BEIRUT STOCK EXCHANGE Factors that affect investors to invest in the BSE as well as the companies to issue their shares. </w:t>
            </w:r>
          </w:p>
        </w:tc>
      </w:tr>
      <w:tr w:rsidR="001C54C2">
        <w:trPr>
          <w:trHeight w:val="3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rPr>
                <w:rFonts w:ascii="Times New Roman" w:hAnsi="Times New Roman"/>
              </w:rPr>
            </w:pPr>
          </w:p>
        </w:tc>
      </w:tr>
      <w:tr w:rsidR="001C54C2">
        <w:trPr>
          <w:trHeight w:val="171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June 2004:</w:t>
            </w: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NDU</w:t>
            </w:r>
            <w:r>
              <w:rPr>
                <w:rFonts w:ascii="Times New Roman" w:hAnsi="Times New Roman"/>
                <w:sz w:val="18"/>
                <w:szCs w:val="18"/>
              </w:rPr>
              <w:t>, Lebanon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Bachelor's degree/higher diploma, BANKING AND FINANCE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My GPA was 3 / 4. With an objective to continue for a Master Degree. I did my internship at the BLC BANK and I get a certificate from BLC Bank. </w:t>
            </w:r>
          </w:p>
        </w:tc>
      </w:tr>
      <w:tr w:rsidR="001C54C2">
        <w:trPr>
          <w:trHeight w:val="3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rPr>
                <w:rFonts w:ascii="Times New Roman" w:hAnsi="Times New Roman"/>
              </w:rPr>
            </w:pPr>
          </w:p>
        </w:tc>
      </w:tr>
      <w:tr w:rsidR="001C54C2">
        <w:trPr>
          <w:trHeight w:val="702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September 2003:</w:t>
            </w: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BLC Bank</w:t>
            </w:r>
            <w:r>
              <w:rPr>
                <w:rFonts w:ascii="Times New Roman" w:hAnsi="Times New Roman"/>
                <w:sz w:val="18"/>
                <w:szCs w:val="18"/>
              </w:rPr>
              <w:t>, Lebanon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Certification/diploma, BLC BANK </w:t>
            </w:r>
          </w:p>
        </w:tc>
      </w:tr>
      <w:tr w:rsidR="001C54C2">
        <w:trPr>
          <w:trHeight w:val="3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1C54C2">
        <w:trPr>
          <w:trHeight w:val="702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June 2001:</w:t>
            </w: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AUC</w:t>
            </w:r>
            <w:r>
              <w:rPr>
                <w:rFonts w:ascii="Times New Roman" w:hAnsi="Times New Roman"/>
                <w:sz w:val="18"/>
                <w:szCs w:val="18"/>
              </w:rPr>
              <w:t>, Lebanon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High school or equivalent, Certificate of Bachelor Technique on Commercial Science </w:t>
            </w:r>
          </w:p>
        </w:tc>
      </w:tr>
      <w:tr w:rsidR="001C54C2">
        <w:trPr>
          <w:trHeight w:val="30"/>
        </w:trPr>
        <w:tc>
          <w:tcPr>
            <w:tcW w:w="2844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single" w:sz="6" w:space="0" w:color="FFFFFF"/>
              <w:bottom w:val="single" w:sz="6" w:space="0" w:color="FFFFFF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1C54C2">
            <w:pPr>
              <w:wordWrap w:val="0"/>
              <w:jc w:val="left"/>
              <w:rPr>
                <w:rFonts w:ascii="Times New Roman" w:hAnsi="Times New Roman"/>
              </w:rPr>
            </w:pPr>
          </w:p>
        </w:tc>
      </w:tr>
      <w:tr w:rsidR="001C54C2">
        <w:trPr>
          <w:trHeight w:val="702"/>
        </w:trPr>
        <w:tc>
          <w:tcPr>
            <w:tcW w:w="2844" w:type="dxa"/>
            <w:tcBorders>
              <w:top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666666"/>
                <w:sz w:val="18"/>
                <w:szCs w:val="18"/>
              </w:rPr>
              <w:t>October 1998:</w:t>
            </w:r>
          </w:p>
        </w:tc>
        <w:tc>
          <w:tcPr>
            <w:tcW w:w="6636" w:type="dxa"/>
            <w:tcBorders>
              <w:top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AUC</w:t>
            </w:r>
            <w:r>
              <w:rPr>
                <w:rFonts w:ascii="Times New Roman" w:hAnsi="Times New Roman"/>
                <w:sz w:val="18"/>
                <w:szCs w:val="18"/>
              </w:rPr>
              <w:t>, Lebanon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Certification/diploma, Computer Languages </w:t>
            </w:r>
          </w:p>
        </w:tc>
      </w:tr>
    </w:tbl>
    <w:p w:rsidR="001C54C2" w:rsidRDefault="001C54C2">
      <w:pPr>
        <w:wordWrap w:val="0"/>
        <w:spacing w:line="200" w:lineRule="auto"/>
        <w:jc w:val="left"/>
        <w:rPr>
          <w:rFonts w:eastAsia="NanumGothic"/>
        </w:rPr>
      </w:pPr>
    </w:p>
    <w:p w:rsidR="001C54C2" w:rsidRDefault="001C54C2">
      <w:pPr>
        <w:wordWrap w:val="0"/>
        <w:spacing w:line="200" w:lineRule="auto"/>
        <w:jc w:val="left"/>
        <w:rPr>
          <w:rFonts w:eastAsia="NanumGothic"/>
        </w:rPr>
      </w:pPr>
    </w:p>
    <w:p w:rsidR="001C54C2" w:rsidRDefault="001C54C2">
      <w:pPr>
        <w:wordWrap w:val="0"/>
        <w:spacing w:line="200" w:lineRule="auto"/>
        <w:jc w:val="left"/>
        <w:rPr>
          <w:rFonts w:eastAsia="NanumGothic"/>
        </w:rPr>
      </w:pPr>
    </w:p>
    <w:p w:rsidR="001C54C2" w:rsidRDefault="00E41B4B">
      <w:pPr>
        <w:spacing w:before="280" w:after="200" w:line="336" w:lineRule="atLeast"/>
        <w:jc w:val="left"/>
        <w:rPr>
          <w:rFonts w:ascii="Arial" w:eastAsia="Arial" w:hAnsi="Arial"/>
          <w:sz w:val="21"/>
          <w:szCs w:val="21"/>
        </w:rPr>
      </w:pPr>
      <w:r>
        <w:rPr>
          <w:rFonts w:ascii="Arial" w:hAnsi="Times New Roman"/>
          <w:b/>
          <w:sz w:val="21"/>
          <w:szCs w:val="21"/>
        </w:rPr>
        <w:lastRenderedPageBreak/>
        <w:t>Skills</w:t>
      </w:r>
    </w:p>
    <w:tbl>
      <w:tblPr>
        <w:tblW w:w="9480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3792"/>
        <w:gridCol w:w="1896"/>
        <w:gridCol w:w="1896"/>
        <w:gridCol w:w="1896"/>
      </w:tblGrid>
      <w:tr w:rsidR="001C54C2">
        <w:trPr>
          <w:trHeight w:val="516"/>
        </w:trPr>
        <w:tc>
          <w:tcPr>
            <w:tcW w:w="3792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Skill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Skill Level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Years of Experience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Last Used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 WORD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 EXCEL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 ACCESS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POWER POINT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SPSS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5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</w:tbl>
    <w:p w:rsidR="001C54C2" w:rsidRDefault="00E41B4B">
      <w:pPr>
        <w:jc w:val="left"/>
        <w:rPr>
          <w:rFonts w:ascii="Arial" w:eastAsia="Arial" w:hAnsi="Arial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0" cy="12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E940" id="Rectangle 2" o:spid="_x0000_s1026" style="position:absolute;margin-left:0;margin-top:0;width:0;height:1pt;z-index:251624961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EJdwIAAPQEAAAOAAAAZHJzL2Uyb0RvYy54bWysVNuO0zAQfUfiHyy/d3NRum2ipqtuSxHS&#10;AisWPsC1ncbCsY3tNl0Q/87YaUsLPCBEHhyPPR6fmXPGs7tDJ9GeWye0qnF2k2LEFdVMqG2NP31c&#10;j6YYOU8UI1IrXuNn7vDd/OWLWW8qnutWS8YtgiDKVb2pceu9qZLE0ZZ3xN1owxVsNtp2xINptwmz&#10;pIfonUzyNL1Nem2ZsZpy52B1NWzieYzfNJz6903juEeyxoDNx9HGcRPGZD4j1dYS0wp6hEH+AUVH&#10;hIJLz6FWxBO0s+K3UJ2gVjvd+Buqu0Q3jaA85gDZZOkv2Ty1xPCYCxTHmXOZ3P8LS9/tHy0SDLjD&#10;SJEOKPoARSNqKznKQ3l64yrwejKPNiTozIOmnx1SetmCF19Yq/uWEwagsuCfXB0IhoOjaNO/1Qyi&#10;k53XsVKHxnYhINQAHSIhz2dC+MEjOixSWM3ySRqpSkh1Omas86+57lCY1NgC6BiW7B+cDzBIdXKJ&#10;sLUUbC2kjIbdbpbSoj0BVSyWi2lZRuSQ3aWbVMFZ6XBsiDisADq4I+wFnJHlb2WWF+l9Xo7Wt9PJ&#10;qFgX41E5SaejNCvvy9u0KIvV+nsAmBVVKxjj6kEoflJcVvwdo0ftD1qJmkN9jctxPo65X6F3l0mm&#10;8ftTkp3w0IBSdDWenp1IFRh9pRikTSpPhBzmyTX8WGWowekfqxL5D5QP0tlo9gz0Ww0kQQPCUwGT&#10;VtuvGPXQdjV2X3bEcozkGwUSKrOiCH0ajWI8ycGwlzubyx2iKISqscdomC790Ns7Y8W2hZuyWBil&#10;FyC7RkRhBEkOqI5ihdaKGRyfgdC7l3b0+vlYzX8AAAD//wMAUEsDBBQABgAIAAAAIQBWBb261gAA&#10;AAABAAAPAAAAZHJzL2Rvd25yZXYueG1sTI9BT8MwDIXvSPyHyEjcWNohTVCaToDEpeKysd29xmur&#10;JU7VZGv37zFc4GI961nvfS7Xs3fqQmPsAxvIFxko4ibYnlsDu6+PhydQMSFbdIHJwJUirKvbmxIL&#10;Gybe0GWbWiUhHAs00KU0FFrHpiOPcREGYvGOYfSYZB1bbUecJNw7vcyylfbYszR0ONB7R81pe/YG&#10;Gn+6Tvt88zm54XlVP9b7+viWG3N/N7++gEo0p79j+MEXdKiE6RDObKNyBuSR9DvFE30wsMxAV6X+&#10;D159AwAA//8DAFBLAQItABQABgAIAAAAIQC2gziS/gAAAOEBAAATAAAAAAAAAAAAAAAAAAAAAABb&#10;Q29udGVudF9UeXBlc10ueG1sUEsBAi0AFAAGAAgAAAAhADj9If/WAAAAlAEAAAsAAAAAAAAAAAAA&#10;AAAALwEAAF9yZWxzLy5yZWxzUEsBAi0AFAAGAAgAAAAhACn70Ql3AgAA9AQAAA4AAAAAAAAAAAAA&#10;AAAALgIAAGRycy9lMm9Eb2MueG1sUEsBAi0AFAAGAAgAAAAhAFYFvbrWAAAAAAEAAA8AAAAAAAAA&#10;AAAAAAAA0QQAAGRycy9kb3ducmV2LnhtbFBLBQYAAAAABAAEAPMAAADUBQAAAAA=&#10;" fillcolor="#aca899" stroked="f">
                <w10:wrap anchory="line"/>
              </v:rect>
            </w:pict>
          </mc:Fallback>
        </mc:AlternateContent>
      </w:r>
    </w:p>
    <w:p w:rsidR="001C54C2" w:rsidRDefault="00E41B4B">
      <w:pPr>
        <w:spacing w:before="280" w:after="200" w:line="336" w:lineRule="atLeast"/>
        <w:jc w:val="left"/>
        <w:rPr>
          <w:rFonts w:ascii="Arial" w:eastAsia="Arial" w:hAnsi="Arial"/>
          <w:sz w:val="21"/>
          <w:szCs w:val="21"/>
        </w:rPr>
      </w:pPr>
      <w:r>
        <w:rPr>
          <w:rFonts w:ascii="Arial" w:hAnsi="Times New Roman"/>
          <w:b/>
          <w:sz w:val="21"/>
          <w:szCs w:val="21"/>
        </w:rPr>
        <w:t>Languages</w:t>
      </w:r>
    </w:p>
    <w:tbl>
      <w:tblPr>
        <w:tblW w:w="9480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3792"/>
        <w:gridCol w:w="1896"/>
        <w:gridCol w:w="1896"/>
        <w:gridCol w:w="1896"/>
      </w:tblGrid>
      <w:tr w:rsidR="001C54C2">
        <w:trPr>
          <w:trHeight w:val="516"/>
        </w:trPr>
        <w:tc>
          <w:tcPr>
            <w:tcW w:w="3792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Language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Skill Level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Years of Experience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000000" w:fill="EEEEEE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Last Used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Arabic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Expert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FFFFFF"/>
            </w:tcBorders>
            <w:shd w:val="clear" w:color="000000" w:fill="F3F3F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month or less</w:t>
            </w:r>
          </w:p>
        </w:tc>
      </w:tr>
      <w:tr w:rsidR="001C54C2">
        <w:trPr>
          <w:trHeight w:val="516"/>
        </w:trPr>
        <w:tc>
          <w:tcPr>
            <w:tcW w:w="3792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French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Intermediate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10 years</w:t>
            </w:r>
          </w:p>
        </w:tc>
        <w:tc>
          <w:tcPr>
            <w:tcW w:w="1896" w:type="dxa"/>
            <w:tcBorders>
              <w:top w:val="single" w:sz="6" w:space="0" w:color="FFFFFF"/>
              <w:bottom w:val="single" w:sz="6" w:space="0" w:color="CCCCCC"/>
            </w:tcBorders>
            <w:shd w:val="clear" w:color="000000" w:fill="F9F9F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C54C2" w:rsidRDefault="00E41B4B">
            <w:pPr>
              <w:wordWrap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More than 6 months</w:t>
            </w:r>
          </w:p>
        </w:tc>
      </w:tr>
    </w:tbl>
    <w:p w:rsidR="001C54C2" w:rsidRDefault="001C54C2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sectPr w:rsidR="001C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numGothic">
    <w:altName w:val="Tahoma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01BD6"/>
    <w:multiLevelType w:val="hybridMultilevel"/>
    <w:tmpl w:val="20BA08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4C2"/>
    <w:rsid w:val="00111D0B"/>
    <w:rsid w:val="001C54C2"/>
    <w:rsid w:val="00317820"/>
    <w:rsid w:val="003E08DE"/>
    <w:rsid w:val="00484F2C"/>
    <w:rsid w:val="004871D1"/>
    <w:rsid w:val="00502B63"/>
    <w:rsid w:val="0065660A"/>
    <w:rsid w:val="00703D24"/>
    <w:rsid w:val="00740A6E"/>
    <w:rsid w:val="00751C0A"/>
    <w:rsid w:val="008B0C1A"/>
    <w:rsid w:val="009306D9"/>
    <w:rsid w:val="00952523"/>
    <w:rsid w:val="00967ECB"/>
    <w:rsid w:val="00995FBD"/>
    <w:rsid w:val="009A4EB7"/>
    <w:rsid w:val="009A5718"/>
    <w:rsid w:val="009D5E52"/>
    <w:rsid w:val="00A1345B"/>
    <w:rsid w:val="00AC7BA5"/>
    <w:rsid w:val="00D46E48"/>
    <w:rsid w:val="00E41B4B"/>
    <w:rsid w:val="00F931B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0820D"/>
  <w15:docId w15:val="{877C20F5-3A2C-6C4A-9D9D-5AECC49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jc w:val="both"/>
    </w:pPr>
    <w:rPr>
      <w:rFonts w:ascii="NanumGothic" w:eastAsia="Times New Roman" w:hAnsi="Nanum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-value">
    <w:name w:val="profile-value"/>
    <w:basedOn w:val="DefaultParagraphFont"/>
    <w:rsid w:val="00D46E48"/>
  </w:style>
  <w:style w:type="paragraph" w:styleId="BalloonText">
    <w:name w:val="Balloon Text"/>
    <w:basedOn w:val="Normal"/>
    <w:link w:val="BalloonTextChar"/>
    <w:uiPriority w:val="99"/>
    <w:semiHidden/>
    <w:unhideWhenUsed/>
    <w:rsid w:val="00502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40A6E"/>
    <w:rPr>
      <w:color w:val="0000FF" w:themeColor="hyperlink"/>
      <w:w w:val="100"/>
      <w:sz w:val="20"/>
      <w:szCs w:val="20"/>
      <w:u w:val="single"/>
      <w:shd w:val="clear" w:color="000000" w:fill="auto"/>
    </w:rPr>
  </w:style>
  <w:style w:type="paragraph" w:styleId="ListParagraph">
    <w:name w:val="List Paragraph"/>
    <w:basedOn w:val="Normal"/>
    <w:uiPriority w:val="34"/>
    <w:qFormat/>
    <w:rsid w:val="0096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644</Words>
  <Characters>3676</Characters>
  <Application>Microsoft Office Word</Application>
  <DocSecurity>0</DocSecurity>
  <Lines>30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MSERVER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 FRANCIS</cp:lastModifiedBy>
  <cp:revision>14</cp:revision>
  <cp:lastPrinted>2018-03-13T12:44:00Z</cp:lastPrinted>
  <dcterms:created xsi:type="dcterms:W3CDTF">2018-03-14T04:40:00Z</dcterms:created>
  <dcterms:modified xsi:type="dcterms:W3CDTF">2018-03-21T18:26:00Z</dcterms:modified>
</cp:coreProperties>
</file>