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228" w:rsidRPr="007537F7" w:rsidRDefault="003F7228" w:rsidP="003F7228">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Personal Profile:</w:t>
      </w:r>
    </w:p>
    <w:p w:rsidR="00A97EA7" w:rsidRPr="007537F7" w:rsidRDefault="00A97EA7" w:rsidP="003F7228">
      <w:pPr>
        <w:spacing w:after="0" w:line="240" w:lineRule="auto"/>
        <w:rPr>
          <w:rFonts w:cs="Calibri"/>
          <w:b/>
          <w:bCs/>
          <w:color w:val="1F497D"/>
          <w:sz w:val="10"/>
          <w:szCs w:val="10"/>
        </w:rPr>
      </w:pPr>
    </w:p>
    <w:p w:rsidR="003F7228" w:rsidRPr="007537F7" w:rsidRDefault="003F7228" w:rsidP="003F7228">
      <w:pPr>
        <w:spacing w:after="0" w:line="240" w:lineRule="auto"/>
        <w:jc w:val="both"/>
        <w:rPr>
          <w:rFonts w:cs="Calibri"/>
          <w:sz w:val="20"/>
          <w:szCs w:val="20"/>
        </w:rPr>
      </w:pPr>
      <w:r w:rsidRPr="007537F7">
        <w:rPr>
          <w:rFonts w:cs="Calibri"/>
          <w:sz w:val="20"/>
          <w:szCs w:val="20"/>
        </w:rPr>
        <w:t>A dynamic and active, results oriented professional with an independent disposition and a flexible attitude, extensive experience in people management, risk and control, quality assurance, dispute resolution, personalised consulting</w:t>
      </w:r>
      <w:r w:rsidR="00E412F7" w:rsidRPr="007537F7">
        <w:rPr>
          <w:rFonts w:cs="Calibri"/>
          <w:sz w:val="20"/>
          <w:szCs w:val="20"/>
        </w:rPr>
        <w:t xml:space="preserve"> and audit. </w:t>
      </w:r>
      <w:r w:rsidRPr="007537F7">
        <w:rPr>
          <w:rFonts w:cs="Calibri"/>
          <w:sz w:val="20"/>
          <w:szCs w:val="20"/>
        </w:rPr>
        <w:t>With the objective to deliver valuable contributions to a company’s ma</w:t>
      </w:r>
      <w:r w:rsidR="00E412F7" w:rsidRPr="007537F7">
        <w:rPr>
          <w:rFonts w:cs="Calibri"/>
          <w:sz w:val="20"/>
          <w:szCs w:val="20"/>
        </w:rPr>
        <w:t>nagement and implementation of</w:t>
      </w:r>
      <w:r w:rsidRPr="007537F7">
        <w:rPr>
          <w:rFonts w:cs="Calibri"/>
          <w:sz w:val="20"/>
          <w:szCs w:val="20"/>
        </w:rPr>
        <w:t xml:space="preserve"> additional business procedures,  service culture that increases customer and employee satisfaction, service standards, productivity, cost efficiency, and ultimately profitability.</w:t>
      </w:r>
    </w:p>
    <w:p w:rsidR="00E412F7" w:rsidRDefault="00E412F7" w:rsidP="003F7228">
      <w:pPr>
        <w:spacing w:after="0" w:line="240" w:lineRule="auto"/>
        <w:jc w:val="both"/>
        <w:rPr>
          <w:sz w:val="20"/>
          <w:szCs w:val="20"/>
        </w:rPr>
      </w:pPr>
    </w:p>
    <w:p w:rsidR="00E412F7" w:rsidRPr="007537F7" w:rsidRDefault="00E412F7" w:rsidP="00E412F7">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Professional Employment History:</w:t>
      </w:r>
    </w:p>
    <w:p w:rsidR="00E412F7" w:rsidRPr="007537F7" w:rsidRDefault="00E412F7" w:rsidP="00E412F7">
      <w:pPr>
        <w:spacing w:after="0" w:line="240" w:lineRule="auto"/>
        <w:rPr>
          <w:rFonts w:cs="Calibri"/>
          <w:b/>
          <w:bCs/>
          <w:sz w:val="10"/>
          <w:szCs w:val="10"/>
        </w:rPr>
      </w:pPr>
    </w:p>
    <w:p w:rsidR="00DD48AB" w:rsidRPr="007537F7" w:rsidRDefault="00DD48AB" w:rsidP="00DD48AB">
      <w:pPr>
        <w:pBdr>
          <w:bottom w:val="single" w:sz="6" w:space="1" w:color="auto"/>
        </w:pBdr>
        <w:spacing w:after="0" w:line="240" w:lineRule="auto"/>
        <w:rPr>
          <w:rFonts w:cs="Calibri"/>
          <w:b/>
          <w:bCs/>
          <w:sz w:val="10"/>
          <w:szCs w:val="10"/>
        </w:rPr>
      </w:pPr>
      <w:bookmarkStart w:id="0" w:name="_GoBack"/>
      <w:bookmarkEnd w:id="0"/>
    </w:p>
    <w:p w:rsidR="00DD48AB" w:rsidRPr="007537F7" w:rsidRDefault="00DD48AB" w:rsidP="00E412F7">
      <w:pPr>
        <w:spacing w:after="0" w:line="240" w:lineRule="auto"/>
        <w:rPr>
          <w:rFonts w:cs="Calibri"/>
          <w:b/>
          <w:bCs/>
          <w:sz w:val="10"/>
          <w:szCs w:val="10"/>
        </w:rPr>
      </w:pPr>
    </w:p>
    <w:tbl>
      <w:tblPr>
        <w:tblW w:w="0" w:type="auto"/>
        <w:tblLook w:val="04A0" w:firstRow="1" w:lastRow="0" w:firstColumn="1" w:lastColumn="0" w:noHBand="0" w:noVBand="1"/>
      </w:tblPr>
      <w:tblGrid>
        <w:gridCol w:w="5313"/>
        <w:gridCol w:w="5318"/>
      </w:tblGrid>
      <w:tr w:rsidR="00431AF8" w:rsidRPr="007537F7" w:rsidTr="00DD48AB">
        <w:tc>
          <w:tcPr>
            <w:tcW w:w="5423" w:type="dxa"/>
            <w:shd w:val="clear" w:color="auto" w:fill="auto"/>
          </w:tcPr>
          <w:p w:rsidR="00431AF8" w:rsidRPr="007537F7" w:rsidRDefault="00431AF8" w:rsidP="007537F7">
            <w:pPr>
              <w:spacing w:after="0" w:line="240" w:lineRule="auto"/>
              <w:rPr>
                <w:rFonts w:cs="Calibri"/>
                <w:sz w:val="20"/>
                <w:szCs w:val="20"/>
              </w:rPr>
            </w:pPr>
            <w:r w:rsidRPr="007537F7">
              <w:rPr>
                <w:rFonts w:cs="Calibri"/>
                <w:sz w:val="20"/>
                <w:szCs w:val="20"/>
              </w:rPr>
              <w:t xml:space="preserve">June 2016 – </w:t>
            </w:r>
            <w:r w:rsidR="00DD48AB">
              <w:rPr>
                <w:rFonts w:cs="Calibri"/>
                <w:sz w:val="20"/>
                <w:szCs w:val="20"/>
              </w:rPr>
              <w:t>September 2017</w:t>
            </w:r>
            <w:r w:rsidR="00026B0E">
              <w:rPr>
                <w:rFonts w:cs="Calibri"/>
                <w:sz w:val="20"/>
                <w:szCs w:val="20"/>
              </w:rPr>
              <w:t xml:space="preserve"> (Contract)</w:t>
            </w:r>
          </w:p>
        </w:tc>
        <w:tc>
          <w:tcPr>
            <w:tcW w:w="5424" w:type="dxa"/>
            <w:shd w:val="clear" w:color="auto" w:fill="auto"/>
          </w:tcPr>
          <w:p w:rsidR="00431AF8" w:rsidRPr="007537F7" w:rsidRDefault="00431AF8" w:rsidP="007537F7">
            <w:pPr>
              <w:spacing w:after="0" w:line="240" w:lineRule="auto"/>
              <w:rPr>
                <w:rFonts w:cs="Calibri"/>
                <w:sz w:val="20"/>
                <w:szCs w:val="20"/>
              </w:rPr>
            </w:pPr>
            <w:r w:rsidRPr="007537F7">
              <w:rPr>
                <w:rFonts w:cs="Calibri"/>
                <w:b/>
                <w:bCs/>
                <w:sz w:val="20"/>
                <w:szCs w:val="20"/>
              </w:rPr>
              <w:t>WEX Australia – Melbourne, Australia</w:t>
            </w:r>
          </w:p>
          <w:p w:rsidR="00431AF8" w:rsidRPr="00DD48AB" w:rsidRDefault="00431AF8" w:rsidP="007537F7">
            <w:pPr>
              <w:spacing w:after="0" w:line="240" w:lineRule="auto"/>
              <w:rPr>
                <w:rFonts w:cs="Calibri"/>
                <w:i/>
                <w:sz w:val="20"/>
                <w:szCs w:val="20"/>
              </w:rPr>
            </w:pPr>
            <w:r w:rsidRPr="007537F7">
              <w:rPr>
                <w:rFonts w:cs="Calibri"/>
                <w:sz w:val="20"/>
                <w:szCs w:val="20"/>
              </w:rPr>
              <w:t xml:space="preserve">Payment </w:t>
            </w:r>
            <w:proofErr w:type="spellStart"/>
            <w:r w:rsidRPr="007537F7">
              <w:rPr>
                <w:rFonts w:cs="Calibri"/>
                <w:sz w:val="20"/>
                <w:szCs w:val="20"/>
              </w:rPr>
              <w:t>facilitor</w:t>
            </w:r>
            <w:proofErr w:type="spellEnd"/>
            <w:r w:rsidRPr="007537F7">
              <w:rPr>
                <w:rFonts w:cs="Calibri"/>
                <w:sz w:val="20"/>
                <w:szCs w:val="20"/>
              </w:rPr>
              <w:t xml:space="preserve"> company – US Listed</w:t>
            </w:r>
            <w:r w:rsidR="00DD48AB">
              <w:rPr>
                <w:rFonts w:cs="Calibri"/>
                <w:sz w:val="20"/>
                <w:szCs w:val="20"/>
              </w:rPr>
              <w:t xml:space="preserve"> </w:t>
            </w:r>
          </w:p>
          <w:p w:rsidR="00431AF8" w:rsidRPr="007537F7" w:rsidRDefault="00431AF8" w:rsidP="007537F7">
            <w:pPr>
              <w:spacing w:after="0" w:line="240" w:lineRule="auto"/>
              <w:rPr>
                <w:rFonts w:cs="Calibri"/>
                <w:sz w:val="20"/>
                <w:szCs w:val="20"/>
                <w:u w:val="single"/>
              </w:rPr>
            </w:pPr>
            <w:r w:rsidRPr="007537F7">
              <w:rPr>
                <w:rFonts w:cs="Calibri"/>
                <w:sz w:val="20"/>
                <w:szCs w:val="20"/>
                <w:u w:val="single"/>
              </w:rPr>
              <w:t>Finance and Tax Manager</w:t>
            </w:r>
            <w:r w:rsidR="00DD48AB">
              <w:rPr>
                <w:rFonts w:cs="Calibri"/>
                <w:sz w:val="20"/>
                <w:szCs w:val="20"/>
                <w:u w:val="single"/>
              </w:rPr>
              <w:t xml:space="preserve"> </w:t>
            </w:r>
            <w:r w:rsidR="00DD48AB" w:rsidRPr="00DD48AB">
              <w:rPr>
                <w:rFonts w:cs="Calibri"/>
                <w:i/>
                <w:sz w:val="20"/>
                <w:szCs w:val="20"/>
              </w:rPr>
              <w:t>(Contract)</w:t>
            </w:r>
          </w:p>
        </w:tc>
      </w:tr>
      <w:tr w:rsidR="00431AF8" w:rsidRPr="007537F7" w:rsidTr="00DD48AB">
        <w:tc>
          <w:tcPr>
            <w:tcW w:w="5423" w:type="dxa"/>
            <w:shd w:val="clear" w:color="auto" w:fill="auto"/>
          </w:tcPr>
          <w:p w:rsidR="00431AF8" w:rsidRPr="007537F7" w:rsidRDefault="00431AF8" w:rsidP="007537F7">
            <w:pPr>
              <w:spacing w:after="0" w:line="240" w:lineRule="auto"/>
              <w:rPr>
                <w:rFonts w:cs="Calibri"/>
                <w:sz w:val="20"/>
                <w:szCs w:val="20"/>
              </w:rPr>
            </w:pPr>
          </w:p>
        </w:tc>
        <w:tc>
          <w:tcPr>
            <w:tcW w:w="5424" w:type="dxa"/>
            <w:shd w:val="clear" w:color="auto" w:fill="auto"/>
          </w:tcPr>
          <w:p w:rsidR="00431AF8" w:rsidRPr="007537F7" w:rsidRDefault="00431AF8" w:rsidP="007537F7">
            <w:pPr>
              <w:spacing w:after="0" w:line="240" w:lineRule="auto"/>
              <w:rPr>
                <w:rFonts w:cs="Calibri"/>
                <w:b/>
                <w:bCs/>
                <w:sz w:val="20"/>
                <w:szCs w:val="20"/>
              </w:rPr>
            </w:pPr>
          </w:p>
        </w:tc>
      </w:tr>
      <w:tr w:rsidR="00431AF8" w:rsidRPr="007537F7" w:rsidTr="00DD48AB">
        <w:trPr>
          <w:trHeight w:val="502"/>
        </w:trPr>
        <w:tc>
          <w:tcPr>
            <w:tcW w:w="10847" w:type="dxa"/>
            <w:gridSpan w:val="2"/>
            <w:shd w:val="clear" w:color="auto" w:fill="auto"/>
          </w:tcPr>
          <w:p w:rsidR="00431AF8" w:rsidRPr="007537F7" w:rsidRDefault="0035407C" w:rsidP="007537F7">
            <w:pPr>
              <w:spacing w:after="0" w:line="240" w:lineRule="auto"/>
              <w:rPr>
                <w:rFonts w:ascii="Arial" w:hAnsi="Arial" w:cs="Arial"/>
                <w:color w:val="000000"/>
              </w:rPr>
            </w:pPr>
            <w:r w:rsidRPr="007537F7">
              <w:rPr>
                <w:rFonts w:cs="Calibri"/>
                <w:sz w:val="20"/>
                <w:szCs w:val="20"/>
              </w:rPr>
              <w:t>To support, lead and add value to the business through the design, implementation and maintenance of finance processes and controls. In addition to Managing finance operational processes while supervising a team of 4.</w:t>
            </w:r>
          </w:p>
        </w:tc>
      </w:tr>
      <w:tr w:rsidR="00431AF8" w:rsidRPr="007537F7" w:rsidTr="00DD48AB">
        <w:trPr>
          <w:trHeight w:val="275"/>
        </w:trPr>
        <w:tc>
          <w:tcPr>
            <w:tcW w:w="5423" w:type="dxa"/>
            <w:shd w:val="clear" w:color="auto" w:fill="auto"/>
          </w:tcPr>
          <w:p w:rsidR="00431AF8" w:rsidRPr="007537F7" w:rsidRDefault="00431AF8" w:rsidP="007537F7">
            <w:pPr>
              <w:spacing w:after="0" w:line="240" w:lineRule="auto"/>
              <w:rPr>
                <w:rFonts w:cs="Calibri"/>
                <w:sz w:val="20"/>
                <w:szCs w:val="20"/>
              </w:rPr>
            </w:pPr>
          </w:p>
        </w:tc>
        <w:tc>
          <w:tcPr>
            <w:tcW w:w="5424" w:type="dxa"/>
            <w:shd w:val="clear" w:color="auto" w:fill="auto"/>
          </w:tcPr>
          <w:p w:rsidR="00431AF8" w:rsidRPr="007537F7" w:rsidRDefault="00431AF8" w:rsidP="007537F7">
            <w:pPr>
              <w:spacing w:after="0" w:line="240" w:lineRule="auto"/>
              <w:rPr>
                <w:rFonts w:cs="Calibri"/>
                <w:b/>
                <w:bCs/>
                <w:sz w:val="20"/>
                <w:szCs w:val="20"/>
              </w:rPr>
            </w:pPr>
          </w:p>
        </w:tc>
      </w:tr>
      <w:tr w:rsidR="00431AF8" w:rsidRPr="007537F7" w:rsidTr="00DD48AB">
        <w:trPr>
          <w:trHeight w:val="1663"/>
        </w:trPr>
        <w:tc>
          <w:tcPr>
            <w:tcW w:w="5423" w:type="dxa"/>
            <w:shd w:val="clear" w:color="auto" w:fill="auto"/>
          </w:tcPr>
          <w:p w:rsidR="0007778D" w:rsidRDefault="0007778D" w:rsidP="007537F7">
            <w:pPr>
              <w:pStyle w:val="ColorfulList-Accent1"/>
              <w:numPr>
                <w:ilvl w:val="0"/>
                <w:numId w:val="1"/>
              </w:numPr>
              <w:spacing w:after="0" w:line="240" w:lineRule="auto"/>
              <w:rPr>
                <w:rFonts w:cs="Calibri"/>
                <w:sz w:val="20"/>
                <w:szCs w:val="20"/>
              </w:rPr>
            </w:pPr>
            <w:r>
              <w:rPr>
                <w:rFonts w:cs="Calibri"/>
                <w:sz w:val="20"/>
                <w:szCs w:val="20"/>
              </w:rPr>
              <w:t>Responsible for financial reporting for Australia, Singapore and New Zealand</w:t>
            </w:r>
          </w:p>
          <w:p w:rsidR="00431AF8" w:rsidRPr="007537F7" w:rsidRDefault="00431AF8"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financial statements in accordance to IFRS and US GAAP</w:t>
            </w:r>
          </w:p>
          <w:p w:rsidR="00431AF8" w:rsidRPr="007537F7" w:rsidRDefault="00431AF8" w:rsidP="007537F7">
            <w:pPr>
              <w:pStyle w:val="ColorfulList-Accent1"/>
              <w:numPr>
                <w:ilvl w:val="0"/>
                <w:numId w:val="1"/>
              </w:numPr>
              <w:spacing w:after="0" w:line="240" w:lineRule="auto"/>
              <w:rPr>
                <w:rFonts w:cs="Calibri"/>
                <w:sz w:val="20"/>
                <w:szCs w:val="20"/>
              </w:rPr>
            </w:pPr>
            <w:r w:rsidRPr="007537F7">
              <w:rPr>
                <w:rFonts w:cs="Calibri"/>
                <w:sz w:val="20"/>
                <w:szCs w:val="20"/>
              </w:rPr>
              <w:t xml:space="preserve">Maintenance and improvement of general ledger and reporting processes in line with SOX requirements </w:t>
            </w:r>
            <w:r w:rsidR="0035407C" w:rsidRPr="007537F7">
              <w:rPr>
                <w:rFonts w:cs="Calibri"/>
                <w:sz w:val="20"/>
                <w:szCs w:val="20"/>
              </w:rPr>
              <w:tab/>
            </w:r>
          </w:p>
          <w:p w:rsidR="00431AF8" w:rsidRPr="007537F7" w:rsidRDefault="00431AF8" w:rsidP="007537F7">
            <w:pPr>
              <w:pStyle w:val="ColorfulList-Accent1"/>
              <w:numPr>
                <w:ilvl w:val="0"/>
                <w:numId w:val="1"/>
              </w:numPr>
              <w:spacing w:after="0" w:line="240" w:lineRule="auto"/>
              <w:rPr>
                <w:rFonts w:cs="Calibri"/>
                <w:sz w:val="20"/>
                <w:szCs w:val="20"/>
              </w:rPr>
            </w:pPr>
            <w:r w:rsidRPr="007537F7">
              <w:rPr>
                <w:rFonts w:cs="Calibri"/>
                <w:sz w:val="20"/>
                <w:szCs w:val="20"/>
              </w:rPr>
              <w:t>Oversee the outsourced payroll process and directly manage supporting reconciliations and accounting entries</w:t>
            </w:r>
          </w:p>
        </w:tc>
        <w:tc>
          <w:tcPr>
            <w:tcW w:w="5424" w:type="dxa"/>
            <w:shd w:val="clear" w:color="auto" w:fill="auto"/>
          </w:tcPr>
          <w:p w:rsidR="00431AF8" w:rsidRPr="007537F7" w:rsidRDefault="0035407C" w:rsidP="007537F7">
            <w:pPr>
              <w:pStyle w:val="ColorfulList-Accent1"/>
              <w:numPr>
                <w:ilvl w:val="0"/>
                <w:numId w:val="1"/>
              </w:numPr>
              <w:spacing w:after="0" w:line="240" w:lineRule="auto"/>
              <w:rPr>
                <w:rFonts w:cs="Calibri"/>
                <w:b/>
                <w:bCs/>
                <w:sz w:val="20"/>
                <w:szCs w:val="20"/>
              </w:rPr>
            </w:pPr>
            <w:r w:rsidRPr="007537F7">
              <w:rPr>
                <w:rFonts w:cs="Calibri"/>
                <w:sz w:val="20"/>
                <w:szCs w:val="20"/>
              </w:rPr>
              <w:t>Ta</w:t>
            </w:r>
            <w:r w:rsidR="00B66FA3" w:rsidRPr="007537F7">
              <w:rPr>
                <w:rFonts w:cs="Calibri"/>
                <w:sz w:val="20"/>
                <w:szCs w:val="20"/>
              </w:rPr>
              <w:t>x</w:t>
            </w:r>
            <w:r w:rsidRPr="007537F7">
              <w:rPr>
                <w:rFonts w:cs="Calibri"/>
                <w:sz w:val="20"/>
                <w:szCs w:val="20"/>
              </w:rPr>
              <w:t xml:space="preserve"> Accounting</w:t>
            </w:r>
          </w:p>
          <w:p w:rsidR="00431AF8" w:rsidRPr="007537F7" w:rsidRDefault="00431AF8" w:rsidP="007537F7">
            <w:pPr>
              <w:pStyle w:val="ColorfulList-Accent1"/>
              <w:numPr>
                <w:ilvl w:val="0"/>
                <w:numId w:val="1"/>
              </w:numPr>
              <w:spacing w:after="0" w:line="240" w:lineRule="auto"/>
              <w:rPr>
                <w:rFonts w:cs="Calibri"/>
                <w:b/>
                <w:bCs/>
                <w:sz w:val="20"/>
                <w:szCs w:val="20"/>
              </w:rPr>
            </w:pPr>
            <w:r w:rsidRPr="007537F7">
              <w:rPr>
                <w:rFonts w:cs="Calibri"/>
                <w:sz w:val="20"/>
                <w:szCs w:val="20"/>
              </w:rPr>
              <w:t>Cash flow forecasting.</w:t>
            </w:r>
          </w:p>
          <w:p w:rsidR="00431AF8" w:rsidRPr="007537F7" w:rsidRDefault="00431AF8" w:rsidP="007537F7">
            <w:pPr>
              <w:pStyle w:val="ColorfulList-Accent1"/>
              <w:numPr>
                <w:ilvl w:val="0"/>
                <w:numId w:val="1"/>
              </w:numPr>
              <w:spacing w:after="0" w:line="240" w:lineRule="auto"/>
              <w:rPr>
                <w:rFonts w:cs="Calibri"/>
                <w:b/>
                <w:bCs/>
                <w:sz w:val="20"/>
                <w:szCs w:val="20"/>
              </w:rPr>
            </w:pPr>
            <w:r w:rsidRPr="007537F7">
              <w:rPr>
                <w:rFonts w:cs="Calibri"/>
                <w:sz w:val="20"/>
                <w:szCs w:val="20"/>
              </w:rPr>
              <w:t>Rolling forecasts</w:t>
            </w:r>
          </w:p>
          <w:p w:rsidR="00431AF8" w:rsidRPr="0010689D" w:rsidRDefault="00431AF8" w:rsidP="007537F7">
            <w:pPr>
              <w:pStyle w:val="ColorfulList-Accent1"/>
              <w:numPr>
                <w:ilvl w:val="0"/>
                <w:numId w:val="1"/>
              </w:numPr>
              <w:spacing w:after="0" w:line="240" w:lineRule="auto"/>
              <w:rPr>
                <w:rFonts w:cs="Calibri"/>
                <w:b/>
                <w:bCs/>
                <w:sz w:val="20"/>
                <w:szCs w:val="20"/>
              </w:rPr>
            </w:pPr>
            <w:r w:rsidRPr="007537F7">
              <w:rPr>
                <w:rFonts w:cs="Calibri"/>
                <w:sz w:val="20"/>
                <w:szCs w:val="20"/>
              </w:rPr>
              <w:t>Annual Budgeting</w:t>
            </w:r>
          </w:p>
          <w:p w:rsidR="0010689D" w:rsidRPr="0010689D" w:rsidRDefault="0010689D" w:rsidP="007537F7">
            <w:pPr>
              <w:pStyle w:val="ColorfulList-Accent1"/>
              <w:numPr>
                <w:ilvl w:val="0"/>
                <w:numId w:val="1"/>
              </w:numPr>
              <w:spacing w:after="0" w:line="240" w:lineRule="auto"/>
              <w:rPr>
                <w:rFonts w:cs="Calibri"/>
                <w:b/>
                <w:bCs/>
                <w:sz w:val="20"/>
                <w:szCs w:val="20"/>
              </w:rPr>
            </w:pPr>
            <w:r>
              <w:rPr>
                <w:rFonts w:cs="Calibri"/>
                <w:sz w:val="20"/>
                <w:szCs w:val="20"/>
              </w:rPr>
              <w:t xml:space="preserve">Implementation of Blackline </w:t>
            </w:r>
          </w:p>
          <w:p w:rsidR="0010689D" w:rsidRPr="007537F7" w:rsidRDefault="0010689D" w:rsidP="007537F7">
            <w:pPr>
              <w:pStyle w:val="ColorfulList-Accent1"/>
              <w:numPr>
                <w:ilvl w:val="0"/>
                <w:numId w:val="1"/>
              </w:numPr>
              <w:spacing w:after="0" w:line="240" w:lineRule="auto"/>
              <w:rPr>
                <w:rFonts w:cs="Calibri"/>
                <w:b/>
                <w:bCs/>
                <w:sz w:val="20"/>
                <w:szCs w:val="20"/>
              </w:rPr>
            </w:pPr>
            <w:r>
              <w:rPr>
                <w:rFonts w:cs="Calibri"/>
                <w:sz w:val="20"/>
                <w:szCs w:val="20"/>
              </w:rPr>
              <w:t>Implementation of Hyperion HFM</w:t>
            </w:r>
          </w:p>
        </w:tc>
      </w:tr>
    </w:tbl>
    <w:p w:rsidR="00431AF8" w:rsidRPr="007537F7" w:rsidRDefault="00431AF8" w:rsidP="00E412F7">
      <w:pPr>
        <w:pBdr>
          <w:bottom w:val="single" w:sz="6" w:space="1" w:color="auto"/>
        </w:pBdr>
        <w:spacing w:after="0" w:line="240" w:lineRule="auto"/>
        <w:rPr>
          <w:rFonts w:cs="Calibri"/>
          <w:b/>
          <w:bCs/>
          <w:sz w:val="10"/>
          <w:szCs w:val="10"/>
        </w:rPr>
      </w:pPr>
    </w:p>
    <w:p w:rsidR="00431AF8" w:rsidRPr="007537F7" w:rsidRDefault="00431AF8" w:rsidP="00E412F7">
      <w:pPr>
        <w:spacing w:after="0" w:line="240" w:lineRule="auto"/>
        <w:rPr>
          <w:rFonts w:cs="Calibri"/>
          <w:b/>
          <w:bCs/>
          <w:sz w:val="10"/>
          <w:szCs w:val="10"/>
        </w:rPr>
      </w:pPr>
    </w:p>
    <w:tbl>
      <w:tblPr>
        <w:tblW w:w="0" w:type="auto"/>
        <w:tblLook w:val="04A0" w:firstRow="1" w:lastRow="0" w:firstColumn="1" w:lastColumn="0" w:noHBand="0" w:noVBand="1"/>
      </w:tblPr>
      <w:tblGrid>
        <w:gridCol w:w="5315"/>
        <w:gridCol w:w="5316"/>
      </w:tblGrid>
      <w:tr w:rsidR="00E412F7" w:rsidRPr="007537F7" w:rsidTr="002452FF">
        <w:trPr>
          <w:trHeight w:val="751"/>
        </w:trPr>
        <w:tc>
          <w:tcPr>
            <w:tcW w:w="5423" w:type="dxa"/>
            <w:shd w:val="clear" w:color="auto" w:fill="auto"/>
          </w:tcPr>
          <w:p w:rsidR="00E412F7" w:rsidRPr="007537F7" w:rsidRDefault="003B3CC0" w:rsidP="007537F7">
            <w:pPr>
              <w:spacing w:after="0" w:line="240" w:lineRule="auto"/>
              <w:rPr>
                <w:rFonts w:cs="Calibri"/>
                <w:sz w:val="20"/>
                <w:szCs w:val="20"/>
              </w:rPr>
            </w:pPr>
            <w:r w:rsidRPr="007537F7">
              <w:rPr>
                <w:rFonts w:cs="Calibri"/>
                <w:sz w:val="20"/>
                <w:szCs w:val="20"/>
              </w:rPr>
              <w:t>May 2015 – June 2016 (Contract)</w:t>
            </w:r>
          </w:p>
        </w:tc>
        <w:tc>
          <w:tcPr>
            <w:tcW w:w="5424" w:type="dxa"/>
            <w:shd w:val="clear" w:color="auto" w:fill="auto"/>
          </w:tcPr>
          <w:p w:rsidR="00E412F7" w:rsidRPr="007537F7" w:rsidRDefault="00E412F7" w:rsidP="007537F7">
            <w:pPr>
              <w:spacing w:after="0" w:line="240" w:lineRule="auto"/>
              <w:rPr>
                <w:rFonts w:cs="Calibri"/>
                <w:sz w:val="20"/>
                <w:szCs w:val="20"/>
              </w:rPr>
            </w:pPr>
            <w:proofErr w:type="spellStart"/>
            <w:r w:rsidRPr="007537F7">
              <w:rPr>
                <w:rFonts w:cs="Calibri"/>
                <w:b/>
                <w:bCs/>
                <w:sz w:val="20"/>
                <w:szCs w:val="20"/>
              </w:rPr>
              <w:t>Phu</w:t>
            </w:r>
            <w:proofErr w:type="spellEnd"/>
            <w:r w:rsidRPr="007537F7">
              <w:rPr>
                <w:rFonts w:cs="Calibri"/>
                <w:b/>
                <w:bCs/>
                <w:sz w:val="20"/>
                <w:szCs w:val="20"/>
              </w:rPr>
              <w:t xml:space="preserve"> Bia Mining Limited (PanAust Limited) – </w:t>
            </w:r>
            <w:r w:rsidR="00A97EA7" w:rsidRPr="007537F7">
              <w:rPr>
                <w:rFonts w:cs="Calibri"/>
                <w:b/>
                <w:bCs/>
                <w:sz w:val="20"/>
                <w:szCs w:val="20"/>
              </w:rPr>
              <w:t xml:space="preserve">Vientiane, </w:t>
            </w:r>
            <w:r w:rsidRPr="007537F7">
              <w:rPr>
                <w:rFonts w:cs="Calibri"/>
                <w:b/>
                <w:bCs/>
                <w:sz w:val="20"/>
                <w:szCs w:val="20"/>
              </w:rPr>
              <w:t>Laos</w:t>
            </w:r>
          </w:p>
          <w:p w:rsidR="00E412F7" w:rsidRPr="007537F7" w:rsidRDefault="00A97EA7" w:rsidP="007537F7">
            <w:pPr>
              <w:spacing w:after="0" w:line="240" w:lineRule="auto"/>
              <w:rPr>
                <w:rFonts w:cs="Calibri"/>
                <w:sz w:val="20"/>
                <w:szCs w:val="20"/>
              </w:rPr>
            </w:pPr>
            <w:r w:rsidRPr="007537F7">
              <w:rPr>
                <w:rFonts w:cs="Calibri"/>
                <w:sz w:val="20"/>
                <w:szCs w:val="20"/>
              </w:rPr>
              <w:t>Copper and g</w:t>
            </w:r>
            <w:r w:rsidR="00E412F7" w:rsidRPr="007537F7">
              <w:rPr>
                <w:rFonts w:cs="Calibri"/>
                <w:sz w:val="20"/>
                <w:szCs w:val="20"/>
              </w:rPr>
              <w:t>old mining group</w:t>
            </w:r>
            <w:r w:rsidR="00DD48AB">
              <w:rPr>
                <w:rFonts w:cs="Calibri"/>
                <w:sz w:val="20"/>
                <w:szCs w:val="20"/>
              </w:rPr>
              <w:t xml:space="preserve"> </w:t>
            </w:r>
          </w:p>
          <w:p w:rsidR="00E412F7" w:rsidRPr="007537F7" w:rsidRDefault="00E412F7" w:rsidP="007537F7">
            <w:pPr>
              <w:spacing w:after="0" w:line="240" w:lineRule="auto"/>
              <w:rPr>
                <w:rFonts w:cs="Calibri"/>
                <w:sz w:val="20"/>
                <w:szCs w:val="20"/>
                <w:u w:val="single"/>
              </w:rPr>
            </w:pPr>
            <w:r w:rsidRPr="007537F7">
              <w:rPr>
                <w:rFonts w:cs="Calibri"/>
                <w:sz w:val="20"/>
                <w:szCs w:val="20"/>
                <w:u w:val="single"/>
              </w:rPr>
              <w:t xml:space="preserve">Senior Financial Reporting and Tax </w:t>
            </w:r>
            <w:r w:rsidR="00A97EA7" w:rsidRPr="007537F7">
              <w:rPr>
                <w:rFonts w:cs="Calibri"/>
                <w:sz w:val="20"/>
                <w:szCs w:val="20"/>
                <w:u w:val="single"/>
              </w:rPr>
              <w:t>Advisor</w:t>
            </w:r>
            <w:r w:rsidR="00DD48AB">
              <w:rPr>
                <w:rFonts w:cs="Calibri"/>
                <w:sz w:val="20"/>
                <w:szCs w:val="20"/>
                <w:u w:val="single"/>
              </w:rPr>
              <w:t xml:space="preserve"> </w:t>
            </w:r>
            <w:r w:rsidR="00DD48AB" w:rsidRPr="00DD48AB">
              <w:rPr>
                <w:rFonts w:cs="Calibri"/>
                <w:i/>
                <w:sz w:val="20"/>
                <w:szCs w:val="20"/>
              </w:rPr>
              <w:t>(Contract)</w:t>
            </w:r>
          </w:p>
        </w:tc>
      </w:tr>
      <w:tr w:rsidR="00E412F7" w:rsidRPr="007537F7" w:rsidTr="007537F7">
        <w:tc>
          <w:tcPr>
            <w:tcW w:w="5423" w:type="dxa"/>
            <w:shd w:val="clear" w:color="auto" w:fill="auto"/>
          </w:tcPr>
          <w:p w:rsidR="00E412F7" w:rsidRPr="007537F7" w:rsidRDefault="00E412F7" w:rsidP="007537F7">
            <w:pPr>
              <w:spacing w:after="0" w:line="240" w:lineRule="auto"/>
              <w:rPr>
                <w:rFonts w:cs="Calibri"/>
                <w:sz w:val="20"/>
                <w:szCs w:val="20"/>
              </w:rPr>
            </w:pPr>
          </w:p>
        </w:tc>
        <w:tc>
          <w:tcPr>
            <w:tcW w:w="5424" w:type="dxa"/>
            <w:shd w:val="clear" w:color="auto" w:fill="auto"/>
          </w:tcPr>
          <w:p w:rsidR="00E412F7" w:rsidRPr="007537F7" w:rsidRDefault="00E412F7" w:rsidP="007537F7">
            <w:pPr>
              <w:spacing w:after="0" w:line="240" w:lineRule="auto"/>
              <w:rPr>
                <w:rFonts w:cs="Calibri"/>
                <w:b/>
                <w:bCs/>
                <w:sz w:val="20"/>
                <w:szCs w:val="20"/>
              </w:rPr>
            </w:pPr>
          </w:p>
        </w:tc>
      </w:tr>
      <w:tr w:rsidR="00E412F7" w:rsidRPr="007537F7" w:rsidTr="007537F7">
        <w:tc>
          <w:tcPr>
            <w:tcW w:w="10847" w:type="dxa"/>
            <w:gridSpan w:val="2"/>
            <w:shd w:val="clear" w:color="auto" w:fill="auto"/>
          </w:tcPr>
          <w:p w:rsidR="00E412F7" w:rsidRPr="007537F7" w:rsidRDefault="00C92477" w:rsidP="007537F7">
            <w:pPr>
              <w:spacing w:after="0" w:line="240" w:lineRule="auto"/>
              <w:jc w:val="both"/>
              <w:rPr>
                <w:rFonts w:cs="Calibri"/>
                <w:b/>
                <w:bCs/>
                <w:sz w:val="20"/>
                <w:szCs w:val="20"/>
              </w:rPr>
            </w:pPr>
            <w:r w:rsidRPr="007537F7">
              <w:rPr>
                <w:rFonts w:cs="Calibri"/>
                <w:sz w:val="20"/>
                <w:szCs w:val="20"/>
              </w:rPr>
              <w:t>A strong focus on documenting standard processes for financial reporting and implementing a formal internal compliance framework ensuring rigorous internal controls are in place. Responsible for the preparation of monthly and annual financial reports in compliance with IFRS and working closely with tax consultants to research and deliver proactive tax solutions.</w:t>
            </w:r>
          </w:p>
        </w:tc>
      </w:tr>
      <w:tr w:rsidR="00E412F7" w:rsidRPr="007537F7" w:rsidTr="007537F7">
        <w:tc>
          <w:tcPr>
            <w:tcW w:w="5423" w:type="dxa"/>
            <w:shd w:val="clear" w:color="auto" w:fill="auto"/>
          </w:tcPr>
          <w:p w:rsidR="00E412F7" w:rsidRPr="007537F7" w:rsidRDefault="00E412F7" w:rsidP="007537F7">
            <w:pPr>
              <w:spacing w:after="0" w:line="240" w:lineRule="auto"/>
              <w:rPr>
                <w:rFonts w:cs="Calibri"/>
                <w:sz w:val="20"/>
                <w:szCs w:val="20"/>
              </w:rPr>
            </w:pPr>
          </w:p>
        </w:tc>
        <w:tc>
          <w:tcPr>
            <w:tcW w:w="5424" w:type="dxa"/>
            <w:shd w:val="clear" w:color="auto" w:fill="auto"/>
          </w:tcPr>
          <w:p w:rsidR="00E412F7" w:rsidRPr="007537F7" w:rsidRDefault="00E412F7" w:rsidP="007537F7">
            <w:pPr>
              <w:spacing w:after="0" w:line="240" w:lineRule="auto"/>
              <w:rPr>
                <w:rFonts w:cs="Calibri"/>
                <w:b/>
                <w:bCs/>
                <w:sz w:val="20"/>
                <w:szCs w:val="20"/>
              </w:rPr>
            </w:pPr>
          </w:p>
        </w:tc>
      </w:tr>
      <w:tr w:rsidR="00C92477" w:rsidRPr="007537F7" w:rsidTr="007537F7">
        <w:tc>
          <w:tcPr>
            <w:tcW w:w="5423" w:type="dxa"/>
            <w:shd w:val="clear" w:color="auto" w:fill="auto"/>
          </w:tcPr>
          <w:p w:rsidR="00C92477" w:rsidRPr="007537F7" w:rsidRDefault="00C92477"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annual financial statements in accordance to IFRS.</w:t>
            </w:r>
          </w:p>
          <w:p w:rsidR="00C92477" w:rsidRPr="007537F7" w:rsidRDefault="00C92477" w:rsidP="007537F7">
            <w:pPr>
              <w:pStyle w:val="ColorfulList-Accent1"/>
              <w:numPr>
                <w:ilvl w:val="0"/>
                <w:numId w:val="1"/>
              </w:numPr>
              <w:spacing w:after="0" w:line="240" w:lineRule="auto"/>
              <w:rPr>
                <w:rFonts w:cs="Calibri"/>
                <w:sz w:val="20"/>
                <w:szCs w:val="20"/>
              </w:rPr>
            </w:pPr>
            <w:r w:rsidRPr="007537F7">
              <w:rPr>
                <w:rFonts w:cs="Calibri"/>
                <w:sz w:val="20"/>
                <w:szCs w:val="20"/>
              </w:rPr>
              <w:t>Lead contact for internal and external audit process, including half year review, hard close and full year audit.</w:t>
            </w:r>
          </w:p>
          <w:p w:rsidR="00C92477" w:rsidRPr="007537F7" w:rsidRDefault="00C92477" w:rsidP="007537F7">
            <w:pPr>
              <w:pStyle w:val="ColorfulList-Accent1"/>
              <w:numPr>
                <w:ilvl w:val="0"/>
                <w:numId w:val="1"/>
              </w:numPr>
              <w:spacing w:after="0" w:line="240" w:lineRule="auto"/>
              <w:rPr>
                <w:rFonts w:cs="Calibri"/>
                <w:sz w:val="20"/>
                <w:szCs w:val="20"/>
              </w:rPr>
            </w:pPr>
            <w:r w:rsidRPr="007537F7">
              <w:rPr>
                <w:rFonts w:cs="Calibri"/>
                <w:sz w:val="20"/>
                <w:szCs w:val="20"/>
              </w:rPr>
              <w:t>Development and implementation of the internal controls program.</w:t>
            </w:r>
          </w:p>
        </w:tc>
        <w:tc>
          <w:tcPr>
            <w:tcW w:w="5424" w:type="dxa"/>
            <w:shd w:val="clear" w:color="auto" w:fill="auto"/>
          </w:tcPr>
          <w:p w:rsidR="00C92477" w:rsidRPr="007537F7" w:rsidRDefault="00A97EA7" w:rsidP="007537F7">
            <w:pPr>
              <w:pStyle w:val="ColorfulList-Accent1"/>
              <w:numPr>
                <w:ilvl w:val="0"/>
                <w:numId w:val="1"/>
              </w:numPr>
              <w:spacing w:after="0" w:line="240" w:lineRule="auto"/>
              <w:rPr>
                <w:rFonts w:cs="Calibri"/>
                <w:b/>
                <w:bCs/>
                <w:sz w:val="20"/>
                <w:szCs w:val="20"/>
              </w:rPr>
            </w:pPr>
            <w:r w:rsidRPr="007537F7">
              <w:rPr>
                <w:rFonts w:cs="Calibri"/>
                <w:sz w:val="20"/>
                <w:szCs w:val="20"/>
              </w:rPr>
              <w:t>Annual tax lodgements to the Government of Laos</w:t>
            </w:r>
          </w:p>
          <w:p w:rsidR="00A97EA7" w:rsidRPr="007537F7" w:rsidRDefault="00A97EA7" w:rsidP="007537F7">
            <w:pPr>
              <w:pStyle w:val="ColorfulList-Accent1"/>
              <w:numPr>
                <w:ilvl w:val="0"/>
                <w:numId w:val="1"/>
              </w:numPr>
              <w:spacing w:after="0" w:line="240" w:lineRule="auto"/>
              <w:rPr>
                <w:rFonts w:cs="Calibri"/>
                <w:b/>
                <w:bCs/>
                <w:sz w:val="20"/>
                <w:szCs w:val="20"/>
              </w:rPr>
            </w:pPr>
            <w:r w:rsidRPr="007537F7">
              <w:rPr>
                <w:rFonts w:cs="Calibri"/>
                <w:sz w:val="20"/>
                <w:szCs w:val="20"/>
              </w:rPr>
              <w:t>Cash flow forecasting.</w:t>
            </w:r>
          </w:p>
          <w:p w:rsidR="00A97EA7" w:rsidRPr="007537F7" w:rsidRDefault="00A97EA7" w:rsidP="007537F7">
            <w:pPr>
              <w:pStyle w:val="ColorfulList-Accent1"/>
              <w:numPr>
                <w:ilvl w:val="0"/>
                <w:numId w:val="1"/>
              </w:numPr>
              <w:spacing w:after="0" w:line="240" w:lineRule="auto"/>
              <w:rPr>
                <w:rFonts w:cs="Calibri"/>
                <w:b/>
                <w:bCs/>
                <w:sz w:val="20"/>
                <w:szCs w:val="20"/>
              </w:rPr>
            </w:pPr>
            <w:r w:rsidRPr="007537F7">
              <w:rPr>
                <w:rFonts w:cs="Calibri"/>
                <w:sz w:val="20"/>
                <w:szCs w:val="20"/>
              </w:rPr>
              <w:t>Develop documented process for routine and ad-hoc financial reporting.</w:t>
            </w:r>
          </w:p>
          <w:p w:rsidR="00A97EA7" w:rsidRPr="007537F7" w:rsidRDefault="00A97EA7" w:rsidP="007537F7">
            <w:pPr>
              <w:pStyle w:val="ColorfulList-Accent1"/>
              <w:numPr>
                <w:ilvl w:val="0"/>
                <w:numId w:val="1"/>
              </w:numPr>
              <w:spacing w:after="0" w:line="240" w:lineRule="auto"/>
              <w:rPr>
                <w:rFonts w:cs="Calibri"/>
                <w:b/>
                <w:bCs/>
                <w:sz w:val="20"/>
                <w:szCs w:val="20"/>
              </w:rPr>
            </w:pPr>
            <w:r w:rsidRPr="007537F7">
              <w:rPr>
                <w:rFonts w:cs="Calibri"/>
                <w:sz w:val="20"/>
                <w:szCs w:val="20"/>
              </w:rPr>
              <w:t xml:space="preserve">Project manage and lead </w:t>
            </w:r>
            <w:proofErr w:type="spellStart"/>
            <w:r w:rsidRPr="007537F7">
              <w:rPr>
                <w:rFonts w:cs="Calibri"/>
                <w:sz w:val="20"/>
                <w:szCs w:val="20"/>
              </w:rPr>
              <w:t>BlackLine</w:t>
            </w:r>
            <w:proofErr w:type="spellEnd"/>
            <w:r w:rsidRPr="007537F7">
              <w:rPr>
                <w:rFonts w:cs="Calibri"/>
                <w:sz w:val="20"/>
                <w:szCs w:val="20"/>
              </w:rPr>
              <w:t xml:space="preserve"> reconciliation implementation across the group.</w:t>
            </w:r>
          </w:p>
        </w:tc>
      </w:tr>
    </w:tbl>
    <w:p w:rsidR="00E412F7" w:rsidRPr="007537F7" w:rsidRDefault="00E412F7" w:rsidP="00E412F7">
      <w:pPr>
        <w:pBdr>
          <w:bottom w:val="single" w:sz="6" w:space="1" w:color="auto"/>
        </w:pBdr>
        <w:spacing w:after="0" w:line="240" w:lineRule="auto"/>
        <w:rPr>
          <w:rFonts w:cs="Calibri"/>
          <w:b/>
          <w:bCs/>
          <w:sz w:val="10"/>
          <w:szCs w:val="10"/>
        </w:rPr>
      </w:pPr>
    </w:p>
    <w:p w:rsidR="00A97EA7" w:rsidRDefault="00A97EA7" w:rsidP="00E412F7">
      <w:pPr>
        <w:spacing w:after="0" w:line="240" w:lineRule="auto"/>
        <w:rPr>
          <w:rFonts w:cs="Calibri"/>
          <w:b/>
          <w:bCs/>
          <w:sz w:val="10"/>
          <w:szCs w:val="10"/>
        </w:rPr>
      </w:pPr>
    </w:p>
    <w:p w:rsidR="0021472B" w:rsidRPr="007537F7" w:rsidRDefault="0021472B" w:rsidP="00E412F7">
      <w:pPr>
        <w:spacing w:after="0" w:line="240" w:lineRule="auto"/>
        <w:rPr>
          <w:rFonts w:cs="Calibri"/>
          <w:b/>
          <w:bCs/>
          <w:sz w:val="10"/>
          <w:szCs w:val="10"/>
        </w:rPr>
      </w:pPr>
    </w:p>
    <w:tbl>
      <w:tblPr>
        <w:tblW w:w="0" w:type="auto"/>
        <w:tblLook w:val="04A0" w:firstRow="1" w:lastRow="0" w:firstColumn="1" w:lastColumn="0" w:noHBand="0" w:noVBand="1"/>
      </w:tblPr>
      <w:tblGrid>
        <w:gridCol w:w="5311"/>
        <w:gridCol w:w="5320"/>
      </w:tblGrid>
      <w:tr w:rsidR="00A97EA7" w:rsidRPr="007537F7" w:rsidTr="0021472B">
        <w:tc>
          <w:tcPr>
            <w:tcW w:w="5423" w:type="dxa"/>
            <w:shd w:val="clear" w:color="auto" w:fill="auto"/>
          </w:tcPr>
          <w:p w:rsidR="00A97EA7" w:rsidRPr="007537F7" w:rsidRDefault="00A97EA7" w:rsidP="007537F7">
            <w:pPr>
              <w:spacing w:after="0" w:line="240" w:lineRule="auto"/>
              <w:rPr>
                <w:rFonts w:cs="Calibri"/>
                <w:sz w:val="20"/>
                <w:szCs w:val="20"/>
              </w:rPr>
            </w:pPr>
            <w:r w:rsidRPr="007537F7">
              <w:rPr>
                <w:rFonts w:cs="Calibri"/>
                <w:sz w:val="20"/>
                <w:szCs w:val="20"/>
              </w:rPr>
              <w:t>March 2014 – May 2015</w:t>
            </w:r>
          </w:p>
        </w:tc>
        <w:tc>
          <w:tcPr>
            <w:tcW w:w="5424" w:type="dxa"/>
            <w:shd w:val="clear" w:color="auto" w:fill="auto"/>
          </w:tcPr>
          <w:p w:rsidR="00A97EA7" w:rsidRPr="007537F7" w:rsidRDefault="00A97EA7" w:rsidP="007537F7">
            <w:pPr>
              <w:spacing w:after="0" w:line="240" w:lineRule="auto"/>
              <w:rPr>
                <w:rFonts w:cs="Calibri"/>
                <w:sz w:val="20"/>
                <w:szCs w:val="20"/>
              </w:rPr>
            </w:pPr>
            <w:proofErr w:type="spellStart"/>
            <w:r w:rsidRPr="007537F7">
              <w:rPr>
                <w:rFonts w:cs="Calibri"/>
                <w:b/>
                <w:bCs/>
                <w:sz w:val="20"/>
                <w:szCs w:val="20"/>
              </w:rPr>
              <w:t>Kalari</w:t>
            </w:r>
            <w:proofErr w:type="spellEnd"/>
            <w:r w:rsidRPr="007537F7">
              <w:rPr>
                <w:rFonts w:cs="Calibri"/>
                <w:b/>
                <w:bCs/>
                <w:sz w:val="20"/>
                <w:szCs w:val="20"/>
              </w:rPr>
              <w:t xml:space="preserve"> Pty Ltd (part of the Swire Group) – Melbourne, Australia</w:t>
            </w:r>
          </w:p>
          <w:p w:rsidR="00A97EA7" w:rsidRPr="007537F7" w:rsidRDefault="00A97EA7" w:rsidP="007537F7">
            <w:pPr>
              <w:spacing w:after="0" w:line="240" w:lineRule="auto"/>
              <w:rPr>
                <w:rFonts w:cs="Calibri"/>
                <w:sz w:val="20"/>
                <w:szCs w:val="20"/>
              </w:rPr>
            </w:pPr>
            <w:r w:rsidRPr="007537F7">
              <w:rPr>
                <w:rFonts w:cs="Calibri"/>
                <w:sz w:val="20"/>
                <w:szCs w:val="20"/>
              </w:rPr>
              <w:t>Mining resource haulage</w:t>
            </w:r>
          </w:p>
          <w:p w:rsidR="00A97EA7" w:rsidRPr="007537F7" w:rsidRDefault="00A97EA7" w:rsidP="007537F7">
            <w:pPr>
              <w:spacing w:after="0" w:line="240" w:lineRule="auto"/>
              <w:rPr>
                <w:rFonts w:cs="Calibri"/>
                <w:sz w:val="20"/>
                <w:szCs w:val="20"/>
                <w:u w:val="single"/>
              </w:rPr>
            </w:pPr>
            <w:r w:rsidRPr="007537F7">
              <w:rPr>
                <w:rFonts w:cs="Calibri"/>
                <w:sz w:val="20"/>
                <w:szCs w:val="20"/>
                <w:u w:val="single"/>
              </w:rPr>
              <w:t>Finance Manager</w:t>
            </w:r>
          </w:p>
        </w:tc>
      </w:tr>
      <w:tr w:rsidR="00A97EA7" w:rsidRPr="007537F7" w:rsidTr="0021472B">
        <w:tc>
          <w:tcPr>
            <w:tcW w:w="5423" w:type="dxa"/>
            <w:shd w:val="clear" w:color="auto" w:fill="auto"/>
          </w:tcPr>
          <w:p w:rsidR="00A97EA7" w:rsidRPr="007537F7" w:rsidRDefault="00A97EA7" w:rsidP="007537F7">
            <w:pPr>
              <w:spacing w:after="0" w:line="240" w:lineRule="auto"/>
              <w:rPr>
                <w:rFonts w:cs="Calibri"/>
                <w:sz w:val="20"/>
                <w:szCs w:val="20"/>
              </w:rPr>
            </w:pPr>
          </w:p>
        </w:tc>
        <w:tc>
          <w:tcPr>
            <w:tcW w:w="5424" w:type="dxa"/>
            <w:shd w:val="clear" w:color="auto" w:fill="auto"/>
          </w:tcPr>
          <w:p w:rsidR="00A97EA7" w:rsidRPr="007537F7" w:rsidRDefault="00A97EA7" w:rsidP="007537F7">
            <w:pPr>
              <w:spacing w:after="0" w:line="240" w:lineRule="auto"/>
              <w:rPr>
                <w:rFonts w:cs="Calibri"/>
                <w:b/>
                <w:bCs/>
                <w:sz w:val="20"/>
                <w:szCs w:val="20"/>
              </w:rPr>
            </w:pPr>
          </w:p>
        </w:tc>
      </w:tr>
      <w:tr w:rsidR="00A97EA7" w:rsidRPr="007537F7" w:rsidTr="0021472B">
        <w:tc>
          <w:tcPr>
            <w:tcW w:w="10847" w:type="dxa"/>
            <w:gridSpan w:val="2"/>
            <w:shd w:val="clear" w:color="auto" w:fill="auto"/>
          </w:tcPr>
          <w:p w:rsidR="00A97EA7" w:rsidRPr="007537F7" w:rsidRDefault="00A97EA7" w:rsidP="007537F7">
            <w:pPr>
              <w:spacing w:after="0" w:line="240" w:lineRule="auto"/>
              <w:jc w:val="both"/>
              <w:rPr>
                <w:rFonts w:cs="Calibri"/>
                <w:b/>
                <w:bCs/>
                <w:sz w:val="20"/>
                <w:szCs w:val="20"/>
              </w:rPr>
            </w:pPr>
            <w:r w:rsidRPr="007537F7">
              <w:rPr>
                <w:rFonts w:cs="Calibri"/>
                <w:sz w:val="20"/>
                <w:szCs w:val="20"/>
              </w:rPr>
              <w:t>Responsible for a team of 8 direct reports, maintaining daily transactional finance function as well as forecasting, budgeting, statutory reporting, regionally as well as on a consolidated basis through to the parent entity in Sydney.</w:t>
            </w:r>
          </w:p>
        </w:tc>
      </w:tr>
      <w:tr w:rsidR="00A97EA7" w:rsidRPr="007537F7" w:rsidTr="0021472B">
        <w:tc>
          <w:tcPr>
            <w:tcW w:w="5423" w:type="dxa"/>
            <w:shd w:val="clear" w:color="auto" w:fill="auto"/>
          </w:tcPr>
          <w:p w:rsidR="00A97EA7" w:rsidRPr="007537F7" w:rsidRDefault="00A97EA7" w:rsidP="007537F7">
            <w:pPr>
              <w:spacing w:after="0" w:line="240" w:lineRule="auto"/>
              <w:rPr>
                <w:rFonts w:cs="Calibri"/>
                <w:sz w:val="20"/>
                <w:szCs w:val="20"/>
              </w:rPr>
            </w:pPr>
          </w:p>
        </w:tc>
        <w:tc>
          <w:tcPr>
            <w:tcW w:w="5424" w:type="dxa"/>
            <w:shd w:val="clear" w:color="auto" w:fill="auto"/>
          </w:tcPr>
          <w:p w:rsidR="00A97EA7" w:rsidRPr="007537F7" w:rsidRDefault="00A97EA7" w:rsidP="007537F7">
            <w:pPr>
              <w:spacing w:after="0" w:line="240" w:lineRule="auto"/>
              <w:rPr>
                <w:rFonts w:cs="Calibri"/>
                <w:b/>
                <w:bCs/>
                <w:sz w:val="20"/>
                <w:szCs w:val="20"/>
              </w:rPr>
            </w:pPr>
          </w:p>
        </w:tc>
      </w:tr>
      <w:tr w:rsidR="00A97EA7" w:rsidRPr="007537F7" w:rsidTr="0021472B">
        <w:trPr>
          <w:trHeight w:val="359"/>
        </w:trPr>
        <w:tc>
          <w:tcPr>
            <w:tcW w:w="5423" w:type="dxa"/>
            <w:shd w:val="clear" w:color="auto" w:fill="auto"/>
          </w:tcPr>
          <w:p w:rsidR="00A97EA7" w:rsidRPr="007537F7" w:rsidRDefault="00A97EA7"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annual financial statements in accordance to IFRS.</w:t>
            </w:r>
          </w:p>
          <w:p w:rsidR="00A97EA7" w:rsidRPr="007537F7" w:rsidRDefault="00A97EA7"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FBT, BAS and Tax returns.</w:t>
            </w:r>
          </w:p>
          <w:p w:rsidR="00A97EA7" w:rsidRPr="007537F7" w:rsidRDefault="00A97EA7" w:rsidP="007537F7">
            <w:pPr>
              <w:pStyle w:val="ColorfulList-Accent1"/>
              <w:numPr>
                <w:ilvl w:val="0"/>
                <w:numId w:val="1"/>
              </w:numPr>
              <w:spacing w:after="0" w:line="240" w:lineRule="auto"/>
              <w:rPr>
                <w:rFonts w:cs="Calibri"/>
                <w:sz w:val="20"/>
                <w:szCs w:val="20"/>
              </w:rPr>
            </w:pPr>
            <w:r w:rsidRPr="007537F7">
              <w:rPr>
                <w:rFonts w:cs="Calibri"/>
                <w:sz w:val="20"/>
                <w:szCs w:val="20"/>
              </w:rPr>
              <w:t xml:space="preserve">Budgeting and </w:t>
            </w:r>
            <w:r w:rsidR="004F6BFF" w:rsidRPr="007537F7">
              <w:rPr>
                <w:rFonts w:cs="Calibri"/>
                <w:sz w:val="20"/>
                <w:szCs w:val="20"/>
              </w:rPr>
              <w:t>forecasting</w:t>
            </w:r>
            <w:r w:rsidRPr="007537F7">
              <w:rPr>
                <w:rFonts w:cs="Calibri"/>
                <w:sz w:val="20"/>
                <w:szCs w:val="20"/>
              </w:rPr>
              <w:t>.</w:t>
            </w:r>
          </w:p>
          <w:p w:rsidR="004F6BFF" w:rsidRPr="007537F7" w:rsidRDefault="004F6BFF" w:rsidP="007537F7">
            <w:pPr>
              <w:pStyle w:val="ColorfulList-Accent1"/>
              <w:numPr>
                <w:ilvl w:val="0"/>
                <w:numId w:val="1"/>
              </w:numPr>
              <w:spacing w:after="0" w:line="240" w:lineRule="auto"/>
              <w:rPr>
                <w:rFonts w:cs="Calibri"/>
                <w:sz w:val="20"/>
                <w:szCs w:val="20"/>
              </w:rPr>
            </w:pPr>
            <w:r w:rsidRPr="007537F7">
              <w:rPr>
                <w:rFonts w:cs="Calibri"/>
                <w:sz w:val="20"/>
                <w:szCs w:val="20"/>
              </w:rPr>
              <w:t>Variance analysis and reporting.</w:t>
            </w:r>
          </w:p>
          <w:p w:rsidR="004F6BFF" w:rsidRPr="007537F7" w:rsidRDefault="004F6BFF" w:rsidP="007537F7">
            <w:pPr>
              <w:pStyle w:val="ColorfulList-Accent1"/>
              <w:numPr>
                <w:ilvl w:val="0"/>
                <w:numId w:val="1"/>
              </w:numPr>
              <w:spacing w:after="0" w:line="240" w:lineRule="auto"/>
              <w:rPr>
                <w:rFonts w:cs="Calibri"/>
                <w:sz w:val="20"/>
                <w:szCs w:val="20"/>
              </w:rPr>
            </w:pPr>
            <w:r w:rsidRPr="007537F7">
              <w:rPr>
                <w:rFonts w:cs="Calibri"/>
                <w:sz w:val="20"/>
                <w:szCs w:val="20"/>
              </w:rPr>
              <w:t>KPI reporting.</w:t>
            </w:r>
          </w:p>
        </w:tc>
        <w:tc>
          <w:tcPr>
            <w:tcW w:w="5424" w:type="dxa"/>
            <w:shd w:val="clear" w:color="auto" w:fill="auto"/>
          </w:tcPr>
          <w:p w:rsidR="00A97EA7"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Preparation of complex balance sheet reconciliations.</w:t>
            </w:r>
          </w:p>
          <w:p w:rsidR="004F6BFF"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Ensure appropriate system controls are maintained.</w:t>
            </w:r>
          </w:p>
          <w:p w:rsidR="004F6BFF"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Manage the performance of team members.</w:t>
            </w:r>
          </w:p>
          <w:p w:rsidR="004F6BFF"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 xml:space="preserve">Preparation of weekly financial statements </w:t>
            </w:r>
          </w:p>
          <w:p w:rsidR="004F6BFF"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Financial modelling.</w:t>
            </w:r>
          </w:p>
        </w:tc>
      </w:tr>
    </w:tbl>
    <w:p w:rsidR="00A97EA7" w:rsidRPr="007537F7" w:rsidRDefault="00A97EA7" w:rsidP="00E412F7">
      <w:pPr>
        <w:pBdr>
          <w:bottom w:val="single" w:sz="6" w:space="1" w:color="auto"/>
        </w:pBdr>
        <w:spacing w:after="0" w:line="240" w:lineRule="auto"/>
        <w:rPr>
          <w:rFonts w:cs="Calibri"/>
          <w:b/>
          <w:bCs/>
          <w:sz w:val="10"/>
          <w:szCs w:val="10"/>
        </w:rPr>
      </w:pPr>
    </w:p>
    <w:p w:rsidR="004F6BFF" w:rsidRPr="007537F7" w:rsidRDefault="004F6BFF" w:rsidP="00E412F7">
      <w:pPr>
        <w:spacing w:after="0" w:line="240" w:lineRule="auto"/>
        <w:rPr>
          <w:rFonts w:cs="Calibri"/>
          <w:b/>
          <w:bCs/>
          <w:sz w:val="10"/>
          <w:szCs w:val="10"/>
        </w:rPr>
      </w:pPr>
    </w:p>
    <w:tbl>
      <w:tblPr>
        <w:tblW w:w="0" w:type="auto"/>
        <w:tblLook w:val="04A0" w:firstRow="1" w:lastRow="0" w:firstColumn="1" w:lastColumn="0" w:noHBand="0" w:noVBand="1"/>
      </w:tblPr>
      <w:tblGrid>
        <w:gridCol w:w="5314"/>
        <w:gridCol w:w="5317"/>
      </w:tblGrid>
      <w:tr w:rsidR="004F6BFF" w:rsidRPr="007537F7" w:rsidTr="0021472B">
        <w:tc>
          <w:tcPr>
            <w:tcW w:w="5423" w:type="dxa"/>
            <w:shd w:val="clear" w:color="auto" w:fill="auto"/>
          </w:tcPr>
          <w:p w:rsidR="004F6BFF" w:rsidRPr="007537F7" w:rsidRDefault="004F6BFF" w:rsidP="007537F7">
            <w:pPr>
              <w:spacing w:after="0" w:line="240" w:lineRule="auto"/>
              <w:rPr>
                <w:rFonts w:cs="Calibri"/>
                <w:sz w:val="20"/>
                <w:szCs w:val="20"/>
              </w:rPr>
            </w:pPr>
            <w:r w:rsidRPr="007537F7">
              <w:rPr>
                <w:rFonts w:cs="Calibri"/>
                <w:sz w:val="20"/>
                <w:szCs w:val="20"/>
              </w:rPr>
              <w:lastRenderedPageBreak/>
              <w:t>September 2012 – March 2014</w:t>
            </w:r>
          </w:p>
        </w:tc>
        <w:tc>
          <w:tcPr>
            <w:tcW w:w="5424" w:type="dxa"/>
            <w:shd w:val="clear" w:color="auto" w:fill="auto"/>
          </w:tcPr>
          <w:p w:rsidR="004F6BFF" w:rsidRPr="007537F7" w:rsidRDefault="004F6BFF" w:rsidP="007537F7">
            <w:pPr>
              <w:spacing w:after="0" w:line="240" w:lineRule="auto"/>
              <w:rPr>
                <w:rFonts w:cs="Calibri"/>
                <w:sz w:val="20"/>
                <w:szCs w:val="20"/>
              </w:rPr>
            </w:pPr>
            <w:r w:rsidRPr="007537F7">
              <w:rPr>
                <w:rFonts w:cs="Calibri"/>
                <w:b/>
                <w:bCs/>
                <w:sz w:val="20"/>
                <w:szCs w:val="20"/>
              </w:rPr>
              <w:t>General Mills – Melbourne, Australia</w:t>
            </w:r>
          </w:p>
          <w:p w:rsidR="004F6BFF" w:rsidRPr="007537F7" w:rsidRDefault="004F6BFF" w:rsidP="007537F7">
            <w:pPr>
              <w:spacing w:after="0" w:line="240" w:lineRule="auto"/>
              <w:rPr>
                <w:rFonts w:cs="Calibri"/>
                <w:sz w:val="20"/>
                <w:szCs w:val="20"/>
              </w:rPr>
            </w:pPr>
            <w:r w:rsidRPr="007537F7">
              <w:rPr>
                <w:rFonts w:cs="Calibri"/>
                <w:sz w:val="20"/>
                <w:szCs w:val="20"/>
              </w:rPr>
              <w:t>FMCG food manufacturer</w:t>
            </w:r>
          </w:p>
          <w:p w:rsidR="004F6BFF" w:rsidRPr="007537F7" w:rsidRDefault="004F6BFF" w:rsidP="007537F7">
            <w:pPr>
              <w:spacing w:after="0" w:line="240" w:lineRule="auto"/>
              <w:rPr>
                <w:rFonts w:cs="Calibri"/>
                <w:sz w:val="20"/>
                <w:szCs w:val="20"/>
                <w:u w:val="single"/>
              </w:rPr>
            </w:pPr>
            <w:r w:rsidRPr="007537F7">
              <w:rPr>
                <w:rFonts w:cs="Calibri"/>
                <w:sz w:val="20"/>
                <w:szCs w:val="20"/>
                <w:u w:val="single"/>
              </w:rPr>
              <w:t>Business Analyst</w:t>
            </w:r>
          </w:p>
        </w:tc>
      </w:tr>
      <w:tr w:rsidR="004F6BFF" w:rsidRPr="007537F7" w:rsidTr="0021472B">
        <w:tc>
          <w:tcPr>
            <w:tcW w:w="5423" w:type="dxa"/>
            <w:shd w:val="clear" w:color="auto" w:fill="auto"/>
          </w:tcPr>
          <w:p w:rsidR="004F6BFF" w:rsidRPr="007537F7" w:rsidRDefault="004F6BFF" w:rsidP="007537F7">
            <w:pPr>
              <w:spacing w:after="0" w:line="240" w:lineRule="auto"/>
              <w:rPr>
                <w:rFonts w:cs="Calibri"/>
                <w:sz w:val="20"/>
                <w:szCs w:val="20"/>
              </w:rPr>
            </w:pPr>
          </w:p>
        </w:tc>
        <w:tc>
          <w:tcPr>
            <w:tcW w:w="5424" w:type="dxa"/>
            <w:shd w:val="clear" w:color="auto" w:fill="auto"/>
          </w:tcPr>
          <w:p w:rsidR="004F6BFF" w:rsidRPr="007537F7" w:rsidRDefault="004F6BFF" w:rsidP="007537F7">
            <w:pPr>
              <w:spacing w:after="0" w:line="240" w:lineRule="auto"/>
              <w:rPr>
                <w:rFonts w:cs="Calibri"/>
                <w:b/>
                <w:bCs/>
                <w:sz w:val="20"/>
                <w:szCs w:val="20"/>
              </w:rPr>
            </w:pPr>
          </w:p>
        </w:tc>
      </w:tr>
      <w:tr w:rsidR="004F6BFF" w:rsidRPr="007537F7" w:rsidTr="0021472B">
        <w:tc>
          <w:tcPr>
            <w:tcW w:w="10847" w:type="dxa"/>
            <w:gridSpan w:val="2"/>
            <w:shd w:val="clear" w:color="auto" w:fill="auto"/>
          </w:tcPr>
          <w:p w:rsidR="004F6BFF" w:rsidRPr="007537F7" w:rsidRDefault="004F6BFF" w:rsidP="007537F7">
            <w:pPr>
              <w:spacing w:after="0" w:line="240" w:lineRule="auto"/>
              <w:jc w:val="both"/>
              <w:rPr>
                <w:rFonts w:cs="Calibri"/>
                <w:b/>
                <w:bCs/>
                <w:sz w:val="20"/>
                <w:szCs w:val="20"/>
              </w:rPr>
            </w:pPr>
            <w:r w:rsidRPr="007537F7">
              <w:rPr>
                <w:rFonts w:cs="Calibri"/>
                <w:sz w:val="20"/>
                <w:szCs w:val="20"/>
              </w:rPr>
              <w:t xml:space="preserve">Business partner for Logistics and Supply Chain Strategic Sourcing teams. Responsible for managing all aspects of the planning, forecasting and business support process for Supply Chain Strategic Sourcing, Logistics and co-packers, for all Australian and New Zealand sites. </w:t>
            </w:r>
          </w:p>
        </w:tc>
      </w:tr>
      <w:tr w:rsidR="004F6BFF" w:rsidRPr="007537F7" w:rsidTr="0021472B">
        <w:tc>
          <w:tcPr>
            <w:tcW w:w="5423" w:type="dxa"/>
            <w:shd w:val="clear" w:color="auto" w:fill="auto"/>
          </w:tcPr>
          <w:p w:rsidR="004F6BFF" w:rsidRPr="007537F7" w:rsidRDefault="004F6BFF" w:rsidP="007537F7">
            <w:pPr>
              <w:spacing w:after="0" w:line="240" w:lineRule="auto"/>
              <w:rPr>
                <w:rFonts w:cs="Calibri"/>
                <w:sz w:val="20"/>
                <w:szCs w:val="20"/>
              </w:rPr>
            </w:pPr>
          </w:p>
        </w:tc>
        <w:tc>
          <w:tcPr>
            <w:tcW w:w="5424" w:type="dxa"/>
            <w:shd w:val="clear" w:color="auto" w:fill="auto"/>
          </w:tcPr>
          <w:p w:rsidR="004F6BFF" w:rsidRPr="007537F7" w:rsidRDefault="004F6BFF" w:rsidP="007537F7">
            <w:pPr>
              <w:spacing w:after="0" w:line="240" w:lineRule="auto"/>
              <w:rPr>
                <w:rFonts w:cs="Calibri"/>
                <w:b/>
                <w:bCs/>
                <w:sz w:val="20"/>
                <w:szCs w:val="20"/>
              </w:rPr>
            </w:pPr>
          </w:p>
        </w:tc>
      </w:tr>
      <w:tr w:rsidR="004F6BFF" w:rsidRPr="007537F7" w:rsidTr="0021472B">
        <w:trPr>
          <w:trHeight w:val="359"/>
        </w:trPr>
        <w:tc>
          <w:tcPr>
            <w:tcW w:w="5423" w:type="dxa"/>
            <w:shd w:val="clear" w:color="auto" w:fill="auto"/>
          </w:tcPr>
          <w:p w:rsidR="004F6BFF" w:rsidRPr="007537F7" w:rsidRDefault="00B07E42" w:rsidP="007537F7">
            <w:pPr>
              <w:pStyle w:val="ColorfulList-Accent1"/>
              <w:numPr>
                <w:ilvl w:val="0"/>
                <w:numId w:val="1"/>
              </w:numPr>
              <w:spacing w:after="0" w:line="240" w:lineRule="auto"/>
              <w:rPr>
                <w:rFonts w:cs="Calibri"/>
                <w:sz w:val="20"/>
                <w:szCs w:val="20"/>
              </w:rPr>
            </w:pPr>
            <w:r w:rsidRPr="007537F7">
              <w:rPr>
                <w:rFonts w:cs="Calibri"/>
                <w:sz w:val="20"/>
                <w:szCs w:val="20"/>
              </w:rPr>
              <w:t>Co-ordinate monthly, year to date and full year analysis of sourcing and logistics performance, highlighting risks and opportunities.</w:t>
            </w:r>
          </w:p>
          <w:p w:rsidR="00B07E42" w:rsidRPr="007537F7" w:rsidRDefault="00B07E42" w:rsidP="007537F7">
            <w:pPr>
              <w:pStyle w:val="ColorfulList-Accent1"/>
              <w:numPr>
                <w:ilvl w:val="0"/>
                <w:numId w:val="1"/>
              </w:numPr>
              <w:spacing w:after="0" w:line="240" w:lineRule="auto"/>
              <w:rPr>
                <w:rFonts w:cs="Calibri"/>
                <w:sz w:val="20"/>
                <w:szCs w:val="20"/>
              </w:rPr>
            </w:pPr>
            <w:r w:rsidRPr="007537F7">
              <w:rPr>
                <w:rFonts w:cs="Calibri"/>
                <w:sz w:val="20"/>
                <w:szCs w:val="20"/>
              </w:rPr>
              <w:t>Long range plan, capital investments and business project reporting.</w:t>
            </w:r>
          </w:p>
          <w:p w:rsidR="004F6BFF" w:rsidRPr="007537F7" w:rsidRDefault="00B07E42" w:rsidP="007537F7">
            <w:pPr>
              <w:pStyle w:val="ColorfulList-Accent1"/>
              <w:numPr>
                <w:ilvl w:val="0"/>
                <w:numId w:val="1"/>
              </w:numPr>
              <w:spacing w:after="0" w:line="240" w:lineRule="auto"/>
              <w:rPr>
                <w:rFonts w:cs="Calibri"/>
                <w:sz w:val="20"/>
                <w:szCs w:val="20"/>
              </w:rPr>
            </w:pPr>
            <w:r w:rsidRPr="007537F7">
              <w:rPr>
                <w:rFonts w:cs="Calibri"/>
                <w:sz w:val="20"/>
                <w:szCs w:val="20"/>
              </w:rPr>
              <w:t xml:space="preserve">Purchase price variance reporting and rolling forecast for imported finished goods. </w:t>
            </w:r>
          </w:p>
        </w:tc>
        <w:tc>
          <w:tcPr>
            <w:tcW w:w="5424" w:type="dxa"/>
            <w:shd w:val="clear" w:color="auto" w:fill="auto"/>
          </w:tcPr>
          <w:p w:rsidR="00B07E42" w:rsidRPr="007537F7" w:rsidRDefault="00B07E42" w:rsidP="007537F7">
            <w:pPr>
              <w:pStyle w:val="ColorfulList-Accent1"/>
              <w:numPr>
                <w:ilvl w:val="0"/>
                <w:numId w:val="1"/>
              </w:numPr>
              <w:spacing w:after="0" w:line="240" w:lineRule="auto"/>
              <w:rPr>
                <w:rFonts w:cs="Calibri"/>
                <w:b/>
                <w:bCs/>
                <w:sz w:val="20"/>
                <w:szCs w:val="20"/>
              </w:rPr>
            </w:pPr>
            <w:r w:rsidRPr="007537F7">
              <w:rPr>
                <w:rFonts w:cs="Calibri"/>
                <w:sz w:val="20"/>
                <w:szCs w:val="20"/>
              </w:rPr>
              <w:t xml:space="preserve">Purchase price variance reporting and rolling forecast for raw and imported finished goods. </w:t>
            </w:r>
          </w:p>
          <w:p w:rsidR="00B07E42" w:rsidRPr="007537F7" w:rsidRDefault="00B07E42" w:rsidP="007537F7">
            <w:pPr>
              <w:pStyle w:val="ColorfulList-Accent1"/>
              <w:numPr>
                <w:ilvl w:val="0"/>
                <w:numId w:val="1"/>
              </w:numPr>
              <w:spacing w:after="0" w:line="240" w:lineRule="auto"/>
              <w:rPr>
                <w:rFonts w:cs="Calibri"/>
                <w:b/>
                <w:bCs/>
                <w:sz w:val="20"/>
                <w:szCs w:val="20"/>
              </w:rPr>
            </w:pPr>
            <w:r w:rsidRPr="007537F7">
              <w:rPr>
                <w:rFonts w:cs="Calibri"/>
                <w:sz w:val="20"/>
                <w:szCs w:val="20"/>
              </w:rPr>
              <w:t>Manage key budgeting and forecasting process for respective functional areas.</w:t>
            </w:r>
          </w:p>
          <w:p w:rsidR="004F6BFF" w:rsidRPr="007537F7" w:rsidRDefault="004F6BFF" w:rsidP="007537F7">
            <w:pPr>
              <w:pStyle w:val="ColorfulList-Accent1"/>
              <w:numPr>
                <w:ilvl w:val="0"/>
                <w:numId w:val="1"/>
              </w:numPr>
              <w:spacing w:after="0" w:line="240" w:lineRule="auto"/>
              <w:rPr>
                <w:rFonts w:cs="Calibri"/>
                <w:b/>
                <w:bCs/>
                <w:sz w:val="20"/>
                <w:szCs w:val="20"/>
              </w:rPr>
            </w:pPr>
            <w:r w:rsidRPr="007537F7">
              <w:rPr>
                <w:rFonts w:cs="Calibri"/>
                <w:sz w:val="20"/>
                <w:szCs w:val="20"/>
              </w:rPr>
              <w:t>Preparation of complex balance sheet reconciliations.</w:t>
            </w:r>
          </w:p>
          <w:p w:rsidR="004F6BFF" w:rsidRPr="007537F7" w:rsidRDefault="00B07E42" w:rsidP="007537F7">
            <w:pPr>
              <w:pStyle w:val="ColorfulList-Accent1"/>
              <w:numPr>
                <w:ilvl w:val="0"/>
                <w:numId w:val="1"/>
              </w:numPr>
              <w:spacing w:after="0" w:line="240" w:lineRule="auto"/>
              <w:rPr>
                <w:rFonts w:cs="Calibri"/>
                <w:b/>
                <w:bCs/>
                <w:sz w:val="20"/>
                <w:szCs w:val="20"/>
              </w:rPr>
            </w:pPr>
            <w:r w:rsidRPr="007537F7">
              <w:rPr>
                <w:rFonts w:cs="Calibri"/>
                <w:sz w:val="20"/>
                <w:szCs w:val="20"/>
              </w:rPr>
              <w:t>Financial modelling</w:t>
            </w:r>
          </w:p>
        </w:tc>
      </w:tr>
    </w:tbl>
    <w:p w:rsidR="0021472B" w:rsidRPr="007537F7" w:rsidRDefault="0021472B" w:rsidP="0021472B">
      <w:pPr>
        <w:pBdr>
          <w:bottom w:val="single" w:sz="6" w:space="1" w:color="auto"/>
        </w:pBdr>
        <w:spacing w:after="0" w:line="240" w:lineRule="auto"/>
        <w:rPr>
          <w:rFonts w:cs="Calibri"/>
          <w:b/>
          <w:bCs/>
          <w:sz w:val="10"/>
          <w:szCs w:val="10"/>
        </w:rPr>
      </w:pPr>
    </w:p>
    <w:p w:rsidR="002472A0" w:rsidRPr="007537F7" w:rsidRDefault="002472A0" w:rsidP="00E412F7">
      <w:pPr>
        <w:spacing w:after="0" w:line="240" w:lineRule="auto"/>
        <w:rPr>
          <w:rFonts w:cs="Calibri"/>
          <w:b/>
          <w:bCs/>
          <w:sz w:val="10"/>
          <w:szCs w:val="10"/>
        </w:rPr>
      </w:pPr>
    </w:p>
    <w:tbl>
      <w:tblPr>
        <w:tblW w:w="0" w:type="auto"/>
        <w:tblLook w:val="04A0" w:firstRow="1" w:lastRow="0" w:firstColumn="1" w:lastColumn="0" w:noHBand="0" w:noVBand="1"/>
      </w:tblPr>
      <w:tblGrid>
        <w:gridCol w:w="5315"/>
        <w:gridCol w:w="5316"/>
      </w:tblGrid>
      <w:tr w:rsidR="00B07E42" w:rsidRPr="007537F7" w:rsidTr="007537F7">
        <w:tc>
          <w:tcPr>
            <w:tcW w:w="5423" w:type="dxa"/>
            <w:shd w:val="clear" w:color="auto" w:fill="auto"/>
          </w:tcPr>
          <w:p w:rsidR="00B07E42" w:rsidRPr="007537F7" w:rsidRDefault="00B07E42" w:rsidP="007537F7">
            <w:pPr>
              <w:spacing w:after="0" w:line="240" w:lineRule="auto"/>
              <w:rPr>
                <w:rFonts w:cs="Calibri"/>
                <w:sz w:val="20"/>
                <w:szCs w:val="20"/>
              </w:rPr>
            </w:pPr>
            <w:r w:rsidRPr="007537F7">
              <w:rPr>
                <w:rFonts w:cs="Calibri"/>
                <w:sz w:val="20"/>
                <w:szCs w:val="20"/>
              </w:rPr>
              <w:t>March 2010 – April 2012</w:t>
            </w:r>
          </w:p>
        </w:tc>
        <w:tc>
          <w:tcPr>
            <w:tcW w:w="5424" w:type="dxa"/>
            <w:shd w:val="clear" w:color="auto" w:fill="auto"/>
          </w:tcPr>
          <w:p w:rsidR="00B07E42" w:rsidRPr="007537F7" w:rsidRDefault="00A02A2A" w:rsidP="007537F7">
            <w:pPr>
              <w:spacing w:after="0" w:line="240" w:lineRule="auto"/>
              <w:rPr>
                <w:rFonts w:cs="Calibri"/>
                <w:sz w:val="20"/>
                <w:szCs w:val="20"/>
              </w:rPr>
            </w:pPr>
            <w:r w:rsidRPr="007537F7">
              <w:rPr>
                <w:rFonts w:cs="Calibri"/>
                <w:b/>
                <w:bCs/>
                <w:sz w:val="20"/>
                <w:szCs w:val="20"/>
              </w:rPr>
              <w:t>Xstrata Copper Middle East</w:t>
            </w:r>
            <w:r w:rsidR="00B07E42" w:rsidRPr="007537F7">
              <w:rPr>
                <w:rFonts w:cs="Calibri"/>
                <w:b/>
                <w:bCs/>
                <w:sz w:val="20"/>
                <w:szCs w:val="20"/>
              </w:rPr>
              <w:t xml:space="preserve"> – Dubai, United Arab Emirates</w:t>
            </w:r>
          </w:p>
          <w:p w:rsidR="00B07E42" w:rsidRPr="007537F7" w:rsidRDefault="00B07E42" w:rsidP="007537F7">
            <w:pPr>
              <w:spacing w:after="0" w:line="240" w:lineRule="auto"/>
              <w:rPr>
                <w:rFonts w:cs="Calibri"/>
                <w:sz w:val="20"/>
                <w:szCs w:val="20"/>
              </w:rPr>
            </w:pPr>
            <w:r w:rsidRPr="007537F7">
              <w:rPr>
                <w:rFonts w:cs="Calibri"/>
                <w:sz w:val="20"/>
                <w:szCs w:val="20"/>
              </w:rPr>
              <w:t>Copper miners and traders</w:t>
            </w:r>
          </w:p>
          <w:p w:rsidR="00B07E42" w:rsidRPr="007537F7" w:rsidRDefault="00B07E42" w:rsidP="007537F7">
            <w:pPr>
              <w:spacing w:after="0" w:line="240" w:lineRule="auto"/>
              <w:rPr>
                <w:rFonts w:cs="Calibri"/>
                <w:sz w:val="20"/>
                <w:szCs w:val="20"/>
                <w:u w:val="single"/>
              </w:rPr>
            </w:pPr>
            <w:r w:rsidRPr="007537F7">
              <w:rPr>
                <w:rFonts w:cs="Calibri"/>
                <w:sz w:val="20"/>
                <w:szCs w:val="20"/>
                <w:u w:val="single"/>
              </w:rPr>
              <w:t>Finance &amp; Risk Analyst</w:t>
            </w:r>
          </w:p>
        </w:tc>
      </w:tr>
      <w:tr w:rsidR="00B07E42" w:rsidRPr="007537F7" w:rsidTr="007537F7">
        <w:tc>
          <w:tcPr>
            <w:tcW w:w="5423" w:type="dxa"/>
            <w:shd w:val="clear" w:color="auto" w:fill="auto"/>
          </w:tcPr>
          <w:p w:rsidR="00B07E42" w:rsidRPr="007537F7" w:rsidRDefault="00B07E42" w:rsidP="007537F7">
            <w:pPr>
              <w:spacing w:after="0" w:line="240" w:lineRule="auto"/>
              <w:rPr>
                <w:rFonts w:cs="Calibri"/>
                <w:sz w:val="20"/>
                <w:szCs w:val="20"/>
              </w:rPr>
            </w:pPr>
          </w:p>
        </w:tc>
        <w:tc>
          <w:tcPr>
            <w:tcW w:w="5424" w:type="dxa"/>
            <w:shd w:val="clear" w:color="auto" w:fill="auto"/>
          </w:tcPr>
          <w:p w:rsidR="00B07E42" w:rsidRPr="007537F7" w:rsidRDefault="00B07E42" w:rsidP="007537F7">
            <w:pPr>
              <w:spacing w:after="0" w:line="240" w:lineRule="auto"/>
              <w:rPr>
                <w:rFonts w:cs="Calibri"/>
                <w:b/>
                <w:bCs/>
                <w:sz w:val="20"/>
                <w:szCs w:val="20"/>
              </w:rPr>
            </w:pPr>
          </w:p>
        </w:tc>
      </w:tr>
      <w:tr w:rsidR="00B07E42" w:rsidRPr="007537F7" w:rsidTr="007537F7">
        <w:tc>
          <w:tcPr>
            <w:tcW w:w="10847" w:type="dxa"/>
            <w:gridSpan w:val="2"/>
            <w:shd w:val="clear" w:color="auto" w:fill="auto"/>
          </w:tcPr>
          <w:p w:rsidR="00B07E42" w:rsidRPr="007537F7" w:rsidRDefault="00B07E42" w:rsidP="007537F7">
            <w:pPr>
              <w:spacing w:after="0" w:line="240" w:lineRule="auto"/>
              <w:jc w:val="both"/>
              <w:rPr>
                <w:rFonts w:cs="Calibri"/>
                <w:b/>
                <w:bCs/>
                <w:sz w:val="20"/>
                <w:szCs w:val="20"/>
              </w:rPr>
            </w:pPr>
            <w:r w:rsidRPr="007537F7">
              <w:rPr>
                <w:rFonts w:cs="Calibri"/>
                <w:sz w:val="20"/>
                <w:szCs w:val="20"/>
              </w:rPr>
              <w:t>2IC to the Finance Manager</w:t>
            </w:r>
            <w:r w:rsidR="00F06FB2" w:rsidRPr="007537F7">
              <w:rPr>
                <w:rFonts w:cs="Calibri"/>
                <w:sz w:val="20"/>
                <w:szCs w:val="20"/>
              </w:rPr>
              <w:t>, responsible for a team of 3, maintain the analysis of key financial and non-financial information to assist decision making, evaluate risk and promote efficient cost effective methods of copper trading using global key business partnering concepts and abilities.</w:t>
            </w:r>
            <w:r w:rsidRPr="007537F7">
              <w:rPr>
                <w:rFonts w:cs="Calibri"/>
                <w:sz w:val="20"/>
                <w:szCs w:val="20"/>
              </w:rPr>
              <w:t xml:space="preserve"> </w:t>
            </w:r>
          </w:p>
        </w:tc>
      </w:tr>
      <w:tr w:rsidR="00B07E42" w:rsidRPr="007537F7" w:rsidTr="007537F7">
        <w:tc>
          <w:tcPr>
            <w:tcW w:w="5423" w:type="dxa"/>
            <w:shd w:val="clear" w:color="auto" w:fill="auto"/>
          </w:tcPr>
          <w:p w:rsidR="00B07E42" w:rsidRPr="007537F7" w:rsidRDefault="00B07E42" w:rsidP="007537F7">
            <w:pPr>
              <w:spacing w:after="0" w:line="240" w:lineRule="auto"/>
              <w:rPr>
                <w:rFonts w:cs="Calibri"/>
                <w:sz w:val="20"/>
                <w:szCs w:val="20"/>
              </w:rPr>
            </w:pPr>
          </w:p>
        </w:tc>
        <w:tc>
          <w:tcPr>
            <w:tcW w:w="5424" w:type="dxa"/>
            <w:shd w:val="clear" w:color="auto" w:fill="auto"/>
          </w:tcPr>
          <w:p w:rsidR="00B07E42" w:rsidRPr="007537F7" w:rsidRDefault="00B07E42" w:rsidP="007537F7">
            <w:pPr>
              <w:spacing w:after="0" w:line="240" w:lineRule="auto"/>
              <w:rPr>
                <w:rFonts w:cs="Calibri"/>
                <w:b/>
                <w:bCs/>
                <w:sz w:val="20"/>
                <w:szCs w:val="20"/>
              </w:rPr>
            </w:pPr>
          </w:p>
        </w:tc>
      </w:tr>
      <w:tr w:rsidR="00B07E42" w:rsidRPr="007537F7" w:rsidTr="007537F7">
        <w:trPr>
          <w:trHeight w:val="359"/>
        </w:trPr>
        <w:tc>
          <w:tcPr>
            <w:tcW w:w="5423" w:type="dxa"/>
            <w:shd w:val="clear" w:color="auto" w:fill="auto"/>
          </w:tcPr>
          <w:p w:rsidR="00B07E4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Weekly and monthly account review and reporting to head office.</w:t>
            </w:r>
          </w:p>
          <w:p w:rsidR="00F06FB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Monthly Executive Committee (EXCO) reporting.</w:t>
            </w:r>
          </w:p>
          <w:p w:rsidR="00F06FB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Monthly group consolidations.</w:t>
            </w:r>
          </w:p>
          <w:p w:rsidR="00F06FB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Detailed budget preparation.</w:t>
            </w:r>
          </w:p>
          <w:p w:rsidR="00F06FB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Rolling commercial trade and operational forecasts.</w:t>
            </w:r>
          </w:p>
          <w:p w:rsidR="00F06FB2" w:rsidRPr="007537F7" w:rsidRDefault="00F06FB2" w:rsidP="007537F7">
            <w:pPr>
              <w:pStyle w:val="ColorfulList-Accent1"/>
              <w:numPr>
                <w:ilvl w:val="0"/>
                <w:numId w:val="1"/>
              </w:numPr>
              <w:spacing w:after="0" w:line="240" w:lineRule="auto"/>
              <w:rPr>
                <w:rFonts w:cs="Calibri"/>
                <w:sz w:val="20"/>
                <w:szCs w:val="20"/>
              </w:rPr>
            </w:pPr>
            <w:r w:rsidRPr="007537F7">
              <w:rPr>
                <w:rFonts w:cs="Calibri"/>
                <w:sz w:val="20"/>
                <w:szCs w:val="20"/>
              </w:rPr>
              <w:t>Main contact for internal and external auditors.</w:t>
            </w:r>
          </w:p>
          <w:p w:rsidR="007B604B" w:rsidRPr="007537F7" w:rsidRDefault="007B604B" w:rsidP="007537F7">
            <w:pPr>
              <w:pStyle w:val="ColorfulList-Accent1"/>
              <w:numPr>
                <w:ilvl w:val="0"/>
                <w:numId w:val="1"/>
              </w:numPr>
              <w:spacing w:after="0" w:line="240" w:lineRule="auto"/>
              <w:rPr>
                <w:rFonts w:cs="Calibri"/>
                <w:sz w:val="20"/>
                <w:szCs w:val="20"/>
              </w:rPr>
            </w:pPr>
            <w:r w:rsidRPr="007537F7">
              <w:rPr>
                <w:rFonts w:cs="Calibri"/>
                <w:sz w:val="20"/>
                <w:szCs w:val="20"/>
              </w:rPr>
              <w:t>Analysis of key business drivers.</w:t>
            </w:r>
          </w:p>
          <w:p w:rsidR="007B604B" w:rsidRPr="007537F7" w:rsidRDefault="007B604B" w:rsidP="007537F7">
            <w:pPr>
              <w:pStyle w:val="ColorfulList-Accent1"/>
              <w:numPr>
                <w:ilvl w:val="0"/>
                <w:numId w:val="1"/>
              </w:numPr>
              <w:spacing w:after="0" w:line="240" w:lineRule="auto"/>
              <w:rPr>
                <w:rFonts w:cs="Calibri"/>
                <w:sz w:val="20"/>
                <w:szCs w:val="20"/>
              </w:rPr>
            </w:pPr>
            <w:r w:rsidRPr="007537F7">
              <w:rPr>
                <w:rFonts w:cs="Calibri"/>
                <w:sz w:val="20"/>
                <w:szCs w:val="20"/>
              </w:rPr>
              <w:t>Assist with Transfer Pricing Tax studies.</w:t>
            </w:r>
          </w:p>
          <w:p w:rsidR="007B604B" w:rsidRPr="007537F7" w:rsidRDefault="007B604B" w:rsidP="007537F7">
            <w:pPr>
              <w:pStyle w:val="ColorfulList-Accent1"/>
              <w:numPr>
                <w:ilvl w:val="0"/>
                <w:numId w:val="1"/>
              </w:numPr>
              <w:spacing w:after="0" w:line="240" w:lineRule="auto"/>
              <w:rPr>
                <w:rFonts w:cs="Calibri"/>
                <w:sz w:val="20"/>
                <w:szCs w:val="20"/>
              </w:rPr>
            </w:pPr>
            <w:r w:rsidRPr="007537F7">
              <w:rPr>
                <w:rFonts w:cs="Calibri"/>
                <w:sz w:val="20"/>
                <w:szCs w:val="20"/>
              </w:rPr>
              <w:t>Pricing analysis of current and future long and short term contracts.</w:t>
            </w:r>
          </w:p>
        </w:tc>
        <w:tc>
          <w:tcPr>
            <w:tcW w:w="5424" w:type="dxa"/>
            <w:shd w:val="clear" w:color="auto" w:fill="auto"/>
          </w:tcPr>
          <w:p w:rsidR="00B07E42"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Evaluate pricing risks within current and future copper trades.</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Managing copper positions.</w:t>
            </w:r>
          </w:p>
          <w:p w:rsidR="007B604B" w:rsidRPr="007537F7" w:rsidRDefault="007B604B" w:rsidP="007537F7">
            <w:pPr>
              <w:pStyle w:val="ColorfulList-Accent1"/>
              <w:numPr>
                <w:ilvl w:val="0"/>
                <w:numId w:val="1"/>
              </w:numPr>
              <w:spacing w:after="0" w:line="240" w:lineRule="auto"/>
              <w:rPr>
                <w:rFonts w:cs="Calibri"/>
                <w:sz w:val="20"/>
                <w:szCs w:val="20"/>
              </w:rPr>
            </w:pPr>
            <w:r w:rsidRPr="007537F7">
              <w:rPr>
                <w:rFonts w:cs="Calibri"/>
                <w:sz w:val="20"/>
                <w:szCs w:val="20"/>
              </w:rPr>
              <w:t>Hedge reporting and reconciliations.</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Placing broker deals on the LME.</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Financial modelling using scenarios and case developments.</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Contract and project feasibility studies and analysis.</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Detailed costing studies.</w:t>
            </w:r>
          </w:p>
          <w:p w:rsidR="007B604B" w:rsidRPr="007537F7" w:rsidRDefault="007B604B" w:rsidP="007537F7">
            <w:pPr>
              <w:pStyle w:val="ColorfulList-Accent1"/>
              <w:numPr>
                <w:ilvl w:val="0"/>
                <w:numId w:val="1"/>
              </w:numPr>
              <w:spacing w:after="0" w:line="240" w:lineRule="auto"/>
              <w:rPr>
                <w:rFonts w:cs="Calibri"/>
                <w:b/>
                <w:bCs/>
                <w:sz w:val="20"/>
                <w:szCs w:val="20"/>
              </w:rPr>
            </w:pPr>
            <w:r w:rsidRPr="007537F7">
              <w:rPr>
                <w:rFonts w:cs="Calibri"/>
                <w:sz w:val="20"/>
                <w:szCs w:val="20"/>
              </w:rPr>
              <w:t>Development of group credit policy inline with fluctuation of commodity price.</w:t>
            </w:r>
          </w:p>
        </w:tc>
      </w:tr>
    </w:tbl>
    <w:p w:rsidR="00B07E42" w:rsidRPr="007537F7" w:rsidRDefault="00B07E42" w:rsidP="00E412F7">
      <w:pPr>
        <w:pBdr>
          <w:bottom w:val="single" w:sz="6" w:space="1" w:color="auto"/>
        </w:pBdr>
        <w:spacing w:after="0" w:line="240" w:lineRule="auto"/>
        <w:rPr>
          <w:rFonts w:cs="Calibri"/>
          <w:b/>
          <w:bCs/>
          <w:sz w:val="10"/>
          <w:szCs w:val="10"/>
        </w:rPr>
      </w:pPr>
    </w:p>
    <w:p w:rsidR="007B604B" w:rsidRPr="007537F7" w:rsidRDefault="007B604B" w:rsidP="00E412F7">
      <w:pPr>
        <w:spacing w:after="0" w:line="240" w:lineRule="auto"/>
        <w:rPr>
          <w:rFonts w:cs="Calibri"/>
          <w:b/>
          <w:bCs/>
          <w:sz w:val="10"/>
          <w:szCs w:val="10"/>
        </w:rPr>
      </w:pPr>
    </w:p>
    <w:tbl>
      <w:tblPr>
        <w:tblW w:w="0" w:type="auto"/>
        <w:tblLook w:val="04A0" w:firstRow="1" w:lastRow="0" w:firstColumn="1" w:lastColumn="0" w:noHBand="0" w:noVBand="1"/>
      </w:tblPr>
      <w:tblGrid>
        <w:gridCol w:w="5310"/>
        <w:gridCol w:w="5321"/>
      </w:tblGrid>
      <w:tr w:rsidR="007B604B" w:rsidRPr="007537F7" w:rsidTr="007537F7">
        <w:tc>
          <w:tcPr>
            <w:tcW w:w="5423" w:type="dxa"/>
            <w:shd w:val="clear" w:color="auto" w:fill="auto"/>
          </w:tcPr>
          <w:p w:rsidR="007B604B" w:rsidRPr="007537F7" w:rsidRDefault="007B604B" w:rsidP="007537F7">
            <w:pPr>
              <w:spacing w:after="0" w:line="240" w:lineRule="auto"/>
              <w:rPr>
                <w:rFonts w:cs="Calibri"/>
                <w:sz w:val="20"/>
                <w:szCs w:val="20"/>
              </w:rPr>
            </w:pPr>
            <w:r w:rsidRPr="007537F7">
              <w:rPr>
                <w:rFonts w:cs="Calibri"/>
                <w:sz w:val="20"/>
                <w:szCs w:val="20"/>
              </w:rPr>
              <w:t>August 2008 – February 2010</w:t>
            </w:r>
          </w:p>
        </w:tc>
        <w:tc>
          <w:tcPr>
            <w:tcW w:w="5424" w:type="dxa"/>
            <w:shd w:val="clear" w:color="auto" w:fill="auto"/>
          </w:tcPr>
          <w:p w:rsidR="007B604B" w:rsidRPr="007537F7" w:rsidRDefault="007B604B" w:rsidP="007537F7">
            <w:pPr>
              <w:spacing w:after="0" w:line="240" w:lineRule="auto"/>
              <w:rPr>
                <w:rFonts w:cs="Calibri"/>
                <w:sz w:val="20"/>
                <w:szCs w:val="20"/>
              </w:rPr>
            </w:pPr>
            <w:proofErr w:type="spellStart"/>
            <w:r w:rsidRPr="007537F7">
              <w:rPr>
                <w:rFonts w:cs="Calibri"/>
                <w:b/>
                <w:bCs/>
                <w:sz w:val="20"/>
                <w:szCs w:val="20"/>
              </w:rPr>
              <w:t>Terraseis</w:t>
            </w:r>
            <w:proofErr w:type="spellEnd"/>
            <w:r w:rsidRPr="007537F7">
              <w:rPr>
                <w:rFonts w:cs="Calibri"/>
                <w:b/>
                <w:bCs/>
                <w:sz w:val="20"/>
                <w:szCs w:val="20"/>
              </w:rPr>
              <w:t xml:space="preserve"> Group of Companies – Dubai, United Arab Emirates</w:t>
            </w:r>
          </w:p>
          <w:p w:rsidR="007B604B" w:rsidRPr="007537F7" w:rsidRDefault="007B604B" w:rsidP="007537F7">
            <w:pPr>
              <w:spacing w:after="0" w:line="240" w:lineRule="auto"/>
              <w:rPr>
                <w:rFonts w:cs="Calibri"/>
                <w:sz w:val="20"/>
                <w:szCs w:val="20"/>
              </w:rPr>
            </w:pPr>
            <w:r w:rsidRPr="007537F7">
              <w:rPr>
                <w:rFonts w:cs="Calibri"/>
                <w:sz w:val="20"/>
                <w:szCs w:val="20"/>
              </w:rPr>
              <w:t>Oil &amp; Gas (Seismic Operations)</w:t>
            </w:r>
          </w:p>
          <w:p w:rsidR="007B604B" w:rsidRPr="007537F7" w:rsidRDefault="007B604B" w:rsidP="007537F7">
            <w:pPr>
              <w:spacing w:after="0" w:line="240" w:lineRule="auto"/>
              <w:rPr>
                <w:rFonts w:cs="Calibri"/>
                <w:sz w:val="20"/>
                <w:szCs w:val="20"/>
                <w:u w:val="single"/>
              </w:rPr>
            </w:pPr>
            <w:r w:rsidRPr="007537F7">
              <w:rPr>
                <w:rFonts w:cs="Calibri"/>
                <w:sz w:val="20"/>
                <w:szCs w:val="20"/>
                <w:u w:val="single"/>
              </w:rPr>
              <w:t>Group Finance Manager</w:t>
            </w:r>
          </w:p>
        </w:tc>
      </w:tr>
      <w:tr w:rsidR="007B604B" w:rsidRPr="007537F7" w:rsidTr="007537F7">
        <w:tc>
          <w:tcPr>
            <w:tcW w:w="5423" w:type="dxa"/>
            <w:shd w:val="clear" w:color="auto" w:fill="auto"/>
          </w:tcPr>
          <w:p w:rsidR="007B604B" w:rsidRPr="007537F7" w:rsidRDefault="007B604B" w:rsidP="007537F7">
            <w:pPr>
              <w:spacing w:after="0" w:line="240" w:lineRule="auto"/>
              <w:rPr>
                <w:rFonts w:cs="Calibri"/>
                <w:sz w:val="20"/>
                <w:szCs w:val="20"/>
              </w:rPr>
            </w:pPr>
          </w:p>
        </w:tc>
        <w:tc>
          <w:tcPr>
            <w:tcW w:w="5424" w:type="dxa"/>
            <w:shd w:val="clear" w:color="auto" w:fill="auto"/>
          </w:tcPr>
          <w:p w:rsidR="007B604B" w:rsidRPr="007537F7" w:rsidRDefault="007B604B" w:rsidP="007537F7">
            <w:pPr>
              <w:spacing w:after="0" w:line="240" w:lineRule="auto"/>
              <w:rPr>
                <w:rFonts w:cs="Calibri"/>
                <w:b/>
                <w:bCs/>
                <w:sz w:val="20"/>
                <w:szCs w:val="20"/>
              </w:rPr>
            </w:pPr>
          </w:p>
        </w:tc>
      </w:tr>
      <w:tr w:rsidR="007B604B" w:rsidRPr="007537F7" w:rsidTr="007537F7">
        <w:tc>
          <w:tcPr>
            <w:tcW w:w="10847" w:type="dxa"/>
            <w:gridSpan w:val="2"/>
            <w:shd w:val="clear" w:color="auto" w:fill="auto"/>
          </w:tcPr>
          <w:p w:rsidR="007B604B" w:rsidRPr="007537F7" w:rsidRDefault="007B604B" w:rsidP="007537F7">
            <w:pPr>
              <w:spacing w:after="0" w:line="240" w:lineRule="auto"/>
              <w:jc w:val="both"/>
              <w:rPr>
                <w:rFonts w:cs="Calibri"/>
                <w:b/>
                <w:bCs/>
                <w:sz w:val="20"/>
                <w:szCs w:val="20"/>
              </w:rPr>
            </w:pPr>
            <w:r w:rsidRPr="007537F7">
              <w:rPr>
                <w:rFonts w:cs="Calibri"/>
                <w:sz w:val="20"/>
                <w:szCs w:val="20"/>
              </w:rPr>
              <w:t>Supervising a team of 5</w:t>
            </w:r>
            <w:r w:rsidR="00A02A2A" w:rsidRPr="007537F7">
              <w:rPr>
                <w:rFonts w:cs="Calibri"/>
                <w:sz w:val="20"/>
                <w:szCs w:val="20"/>
              </w:rPr>
              <w:t xml:space="preserve"> transactional and management accountants</w:t>
            </w:r>
            <w:r w:rsidRPr="007537F7">
              <w:rPr>
                <w:rFonts w:cs="Calibri"/>
                <w:sz w:val="20"/>
                <w:szCs w:val="20"/>
              </w:rPr>
              <w:t xml:space="preserve">, responsible for financial planning and analysis service to all company management and board members. Satisfying internal and statutory requirements in relation to the group’s financial reporting with a continued strong commercial focus to feasibility of new contracts and new ventures. </w:t>
            </w:r>
          </w:p>
        </w:tc>
      </w:tr>
      <w:tr w:rsidR="007B604B" w:rsidRPr="007537F7" w:rsidTr="007537F7">
        <w:tc>
          <w:tcPr>
            <w:tcW w:w="5423" w:type="dxa"/>
            <w:shd w:val="clear" w:color="auto" w:fill="auto"/>
          </w:tcPr>
          <w:p w:rsidR="007B604B" w:rsidRPr="007537F7" w:rsidRDefault="007B604B" w:rsidP="007537F7">
            <w:pPr>
              <w:spacing w:after="0" w:line="240" w:lineRule="auto"/>
              <w:rPr>
                <w:rFonts w:cs="Calibri"/>
                <w:sz w:val="20"/>
                <w:szCs w:val="20"/>
              </w:rPr>
            </w:pPr>
          </w:p>
        </w:tc>
        <w:tc>
          <w:tcPr>
            <w:tcW w:w="5424" w:type="dxa"/>
            <w:shd w:val="clear" w:color="auto" w:fill="auto"/>
          </w:tcPr>
          <w:p w:rsidR="007B604B" w:rsidRPr="007537F7" w:rsidRDefault="007B604B" w:rsidP="007537F7">
            <w:pPr>
              <w:spacing w:after="0" w:line="240" w:lineRule="auto"/>
              <w:rPr>
                <w:rFonts w:cs="Calibri"/>
                <w:b/>
                <w:bCs/>
                <w:sz w:val="20"/>
                <w:szCs w:val="20"/>
              </w:rPr>
            </w:pPr>
          </w:p>
        </w:tc>
      </w:tr>
      <w:tr w:rsidR="007B604B" w:rsidRPr="007537F7" w:rsidTr="007537F7">
        <w:trPr>
          <w:trHeight w:val="359"/>
        </w:trPr>
        <w:tc>
          <w:tcPr>
            <w:tcW w:w="5423" w:type="dxa"/>
            <w:shd w:val="clear" w:color="auto" w:fill="auto"/>
          </w:tcPr>
          <w:p w:rsidR="007B604B" w:rsidRPr="007537F7" w:rsidRDefault="00A02A2A" w:rsidP="007537F7">
            <w:pPr>
              <w:pStyle w:val="ColorfulList-Accent1"/>
              <w:numPr>
                <w:ilvl w:val="0"/>
                <w:numId w:val="1"/>
              </w:numPr>
              <w:spacing w:after="0" w:line="240" w:lineRule="auto"/>
              <w:rPr>
                <w:rFonts w:cs="Calibri"/>
                <w:sz w:val="20"/>
                <w:szCs w:val="20"/>
              </w:rPr>
            </w:pPr>
            <w:r w:rsidRPr="007537F7">
              <w:rPr>
                <w:rFonts w:cs="Calibri"/>
                <w:sz w:val="20"/>
                <w:szCs w:val="20"/>
              </w:rPr>
              <w:t>Creation of policies, procedures and systems for all aspects related to the finance department, including cash, sales, inventory, payroll and sales.</w:t>
            </w:r>
          </w:p>
          <w:p w:rsidR="00A02A2A" w:rsidRPr="007537F7" w:rsidRDefault="00A02A2A" w:rsidP="007537F7">
            <w:pPr>
              <w:pStyle w:val="ColorfulList-Accent1"/>
              <w:numPr>
                <w:ilvl w:val="0"/>
                <w:numId w:val="1"/>
              </w:numPr>
              <w:spacing w:after="0" w:line="240" w:lineRule="auto"/>
              <w:rPr>
                <w:rFonts w:cs="Calibri"/>
                <w:sz w:val="20"/>
                <w:szCs w:val="20"/>
              </w:rPr>
            </w:pPr>
            <w:r w:rsidRPr="007537F7">
              <w:rPr>
                <w:rFonts w:cs="Calibri"/>
                <w:sz w:val="20"/>
                <w:szCs w:val="20"/>
              </w:rPr>
              <w:t>Daily/Weekly reporting of a series of exploration projects worldwide.</w:t>
            </w:r>
          </w:p>
          <w:p w:rsidR="00A02A2A" w:rsidRPr="007537F7" w:rsidRDefault="00A02A2A"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budgets, forecasting and reporting variances.</w:t>
            </w:r>
          </w:p>
          <w:p w:rsidR="00A02A2A" w:rsidRPr="007537F7" w:rsidRDefault="00A02A2A" w:rsidP="007537F7">
            <w:pPr>
              <w:pStyle w:val="ColorfulList-Accent1"/>
              <w:numPr>
                <w:ilvl w:val="0"/>
                <w:numId w:val="1"/>
              </w:numPr>
              <w:spacing w:after="0" w:line="240" w:lineRule="auto"/>
              <w:rPr>
                <w:rFonts w:cs="Calibri"/>
                <w:sz w:val="20"/>
                <w:szCs w:val="20"/>
              </w:rPr>
            </w:pPr>
            <w:r w:rsidRPr="007537F7">
              <w:rPr>
                <w:rFonts w:cs="Calibri"/>
                <w:sz w:val="20"/>
                <w:szCs w:val="20"/>
              </w:rPr>
              <w:t>Project accounting and reviews.</w:t>
            </w:r>
          </w:p>
          <w:p w:rsidR="00A02A2A" w:rsidRPr="007537F7" w:rsidRDefault="00A02A2A" w:rsidP="007537F7">
            <w:pPr>
              <w:pStyle w:val="ColorfulList-Accent1"/>
              <w:numPr>
                <w:ilvl w:val="0"/>
                <w:numId w:val="1"/>
              </w:numPr>
              <w:spacing w:after="0" w:line="240" w:lineRule="auto"/>
              <w:rPr>
                <w:rFonts w:cs="Calibri"/>
                <w:sz w:val="20"/>
                <w:szCs w:val="20"/>
              </w:rPr>
            </w:pPr>
            <w:r w:rsidRPr="007537F7">
              <w:rPr>
                <w:rFonts w:cs="Calibri"/>
                <w:sz w:val="20"/>
                <w:szCs w:val="20"/>
              </w:rPr>
              <w:t>Review of general ledger reconciliations.</w:t>
            </w:r>
          </w:p>
        </w:tc>
        <w:tc>
          <w:tcPr>
            <w:tcW w:w="5424" w:type="dxa"/>
            <w:shd w:val="clear" w:color="auto" w:fill="auto"/>
          </w:tcPr>
          <w:p w:rsidR="007B604B"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Preparation of discounted and nominal cash flow statements.</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Business process improvement analysis.</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Financial analysis and modelling.</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Profitability and feasibility studies.</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External liaison with financiers, clients, auditors, suppliers and consultants.</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Preparation of monthly financial reports.</w:t>
            </w:r>
          </w:p>
          <w:p w:rsidR="00A02A2A" w:rsidRPr="007537F7" w:rsidRDefault="00A02A2A" w:rsidP="007537F7">
            <w:pPr>
              <w:pStyle w:val="ColorfulList-Accent1"/>
              <w:numPr>
                <w:ilvl w:val="0"/>
                <w:numId w:val="1"/>
              </w:numPr>
              <w:spacing w:after="0" w:line="240" w:lineRule="auto"/>
              <w:rPr>
                <w:rFonts w:cs="Calibri"/>
                <w:b/>
                <w:bCs/>
                <w:sz w:val="20"/>
                <w:szCs w:val="20"/>
              </w:rPr>
            </w:pPr>
            <w:r w:rsidRPr="007537F7">
              <w:rPr>
                <w:rFonts w:cs="Calibri"/>
                <w:sz w:val="20"/>
                <w:szCs w:val="20"/>
              </w:rPr>
              <w:t>Preparation of Board Reports, presentation and recommendations.</w:t>
            </w:r>
          </w:p>
        </w:tc>
      </w:tr>
    </w:tbl>
    <w:p w:rsidR="007B604B" w:rsidRPr="007537F7" w:rsidRDefault="007B604B" w:rsidP="00E412F7">
      <w:pPr>
        <w:pBdr>
          <w:bottom w:val="single" w:sz="6" w:space="1" w:color="auto"/>
        </w:pBdr>
        <w:spacing w:after="0" w:line="240" w:lineRule="auto"/>
        <w:rPr>
          <w:rFonts w:cs="Calibri"/>
          <w:b/>
          <w:bCs/>
          <w:sz w:val="10"/>
          <w:szCs w:val="10"/>
        </w:rPr>
      </w:pPr>
    </w:p>
    <w:p w:rsidR="002472A0" w:rsidRPr="007537F7" w:rsidRDefault="002472A0" w:rsidP="00E412F7">
      <w:pPr>
        <w:spacing w:after="0" w:line="240" w:lineRule="auto"/>
        <w:rPr>
          <w:rFonts w:cs="Calibri"/>
          <w:b/>
          <w:bCs/>
          <w:sz w:val="10"/>
          <w:szCs w:val="10"/>
        </w:rPr>
      </w:pPr>
    </w:p>
    <w:tbl>
      <w:tblPr>
        <w:tblW w:w="0" w:type="auto"/>
        <w:tblLook w:val="04A0" w:firstRow="1" w:lastRow="0" w:firstColumn="1" w:lastColumn="0" w:noHBand="0" w:noVBand="1"/>
      </w:tblPr>
      <w:tblGrid>
        <w:gridCol w:w="5308"/>
        <w:gridCol w:w="5323"/>
      </w:tblGrid>
      <w:tr w:rsidR="00A02A2A" w:rsidRPr="007537F7" w:rsidTr="0021472B">
        <w:tc>
          <w:tcPr>
            <w:tcW w:w="5423" w:type="dxa"/>
            <w:shd w:val="clear" w:color="auto" w:fill="auto"/>
          </w:tcPr>
          <w:p w:rsidR="00A02A2A" w:rsidRPr="007537F7" w:rsidRDefault="00AB78A8" w:rsidP="007537F7">
            <w:pPr>
              <w:spacing w:after="0" w:line="240" w:lineRule="auto"/>
              <w:rPr>
                <w:rFonts w:cs="Calibri"/>
                <w:sz w:val="20"/>
                <w:szCs w:val="20"/>
              </w:rPr>
            </w:pPr>
            <w:r w:rsidRPr="007537F7">
              <w:rPr>
                <w:rFonts w:cs="Calibri"/>
                <w:sz w:val="20"/>
                <w:szCs w:val="20"/>
              </w:rPr>
              <w:t>July</w:t>
            </w:r>
            <w:r w:rsidR="00A02A2A" w:rsidRPr="007537F7">
              <w:rPr>
                <w:rFonts w:cs="Calibri"/>
                <w:sz w:val="20"/>
                <w:szCs w:val="20"/>
              </w:rPr>
              <w:t xml:space="preserve"> 200</w:t>
            </w:r>
            <w:r w:rsidRPr="007537F7">
              <w:rPr>
                <w:rFonts w:cs="Calibri"/>
                <w:sz w:val="20"/>
                <w:szCs w:val="20"/>
              </w:rPr>
              <w:t>7</w:t>
            </w:r>
            <w:r w:rsidR="00A02A2A" w:rsidRPr="007537F7">
              <w:rPr>
                <w:rFonts w:cs="Calibri"/>
                <w:sz w:val="20"/>
                <w:szCs w:val="20"/>
              </w:rPr>
              <w:t xml:space="preserve"> – </w:t>
            </w:r>
            <w:r w:rsidRPr="007537F7">
              <w:rPr>
                <w:rFonts w:cs="Calibri"/>
                <w:sz w:val="20"/>
                <w:szCs w:val="20"/>
              </w:rPr>
              <w:t>August</w:t>
            </w:r>
            <w:r w:rsidR="00A02A2A" w:rsidRPr="007537F7">
              <w:rPr>
                <w:rFonts w:cs="Calibri"/>
                <w:sz w:val="20"/>
                <w:szCs w:val="20"/>
              </w:rPr>
              <w:t xml:space="preserve"> 20</w:t>
            </w:r>
            <w:r w:rsidRPr="007537F7">
              <w:rPr>
                <w:rFonts w:cs="Calibri"/>
                <w:sz w:val="20"/>
                <w:szCs w:val="20"/>
              </w:rPr>
              <w:t>08</w:t>
            </w:r>
          </w:p>
        </w:tc>
        <w:tc>
          <w:tcPr>
            <w:tcW w:w="5424" w:type="dxa"/>
            <w:shd w:val="clear" w:color="auto" w:fill="auto"/>
          </w:tcPr>
          <w:p w:rsidR="00A02A2A" w:rsidRPr="007537F7" w:rsidRDefault="00A02A2A" w:rsidP="007537F7">
            <w:pPr>
              <w:spacing w:after="0" w:line="240" w:lineRule="auto"/>
              <w:rPr>
                <w:rFonts w:cs="Calibri"/>
                <w:sz w:val="20"/>
                <w:szCs w:val="20"/>
              </w:rPr>
            </w:pPr>
            <w:r w:rsidRPr="007537F7">
              <w:rPr>
                <w:rFonts w:cs="Calibri"/>
                <w:b/>
                <w:bCs/>
                <w:sz w:val="20"/>
                <w:szCs w:val="20"/>
              </w:rPr>
              <w:t>Schlumberger – Dubai, United Arab Emirates</w:t>
            </w:r>
          </w:p>
          <w:p w:rsidR="00A02A2A" w:rsidRPr="007537F7" w:rsidRDefault="00A02A2A" w:rsidP="007537F7">
            <w:pPr>
              <w:spacing w:after="0" w:line="240" w:lineRule="auto"/>
              <w:rPr>
                <w:rFonts w:cs="Calibri"/>
                <w:sz w:val="20"/>
                <w:szCs w:val="20"/>
              </w:rPr>
            </w:pPr>
            <w:r w:rsidRPr="007537F7">
              <w:rPr>
                <w:rFonts w:cs="Calibri"/>
                <w:sz w:val="20"/>
                <w:szCs w:val="20"/>
              </w:rPr>
              <w:t>Oil &amp; Gas (Oilfield Service Provider)</w:t>
            </w:r>
          </w:p>
          <w:p w:rsidR="00A02A2A" w:rsidRPr="007537F7" w:rsidRDefault="00A02A2A" w:rsidP="007537F7">
            <w:pPr>
              <w:spacing w:after="0" w:line="240" w:lineRule="auto"/>
              <w:rPr>
                <w:rFonts w:cs="Calibri"/>
                <w:sz w:val="20"/>
                <w:szCs w:val="20"/>
                <w:u w:val="single"/>
              </w:rPr>
            </w:pPr>
            <w:r w:rsidRPr="007537F7">
              <w:rPr>
                <w:rFonts w:cs="Calibri"/>
                <w:sz w:val="20"/>
                <w:szCs w:val="20"/>
                <w:u w:val="single"/>
              </w:rPr>
              <w:t>Internal Auditor (MEA – Middle East Asia)</w:t>
            </w:r>
          </w:p>
        </w:tc>
      </w:tr>
      <w:tr w:rsidR="00A02A2A" w:rsidRPr="007537F7" w:rsidTr="0021472B">
        <w:tc>
          <w:tcPr>
            <w:tcW w:w="5423" w:type="dxa"/>
            <w:shd w:val="clear" w:color="auto" w:fill="auto"/>
          </w:tcPr>
          <w:p w:rsidR="00A02A2A" w:rsidRPr="007537F7" w:rsidRDefault="00A02A2A" w:rsidP="007537F7">
            <w:pPr>
              <w:spacing w:after="0" w:line="240" w:lineRule="auto"/>
              <w:rPr>
                <w:rFonts w:cs="Calibri"/>
                <w:sz w:val="20"/>
                <w:szCs w:val="20"/>
              </w:rPr>
            </w:pPr>
          </w:p>
        </w:tc>
        <w:tc>
          <w:tcPr>
            <w:tcW w:w="5424" w:type="dxa"/>
            <w:shd w:val="clear" w:color="auto" w:fill="auto"/>
          </w:tcPr>
          <w:p w:rsidR="00A02A2A" w:rsidRPr="007537F7" w:rsidRDefault="00A02A2A" w:rsidP="007537F7">
            <w:pPr>
              <w:spacing w:after="0" w:line="240" w:lineRule="auto"/>
              <w:rPr>
                <w:rFonts w:cs="Calibri"/>
                <w:b/>
                <w:bCs/>
                <w:sz w:val="20"/>
                <w:szCs w:val="20"/>
              </w:rPr>
            </w:pPr>
          </w:p>
        </w:tc>
      </w:tr>
      <w:tr w:rsidR="00A02A2A" w:rsidRPr="007537F7" w:rsidTr="0021472B">
        <w:tc>
          <w:tcPr>
            <w:tcW w:w="10847" w:type="dxa"/>
            <w:gridSpan w:val="2"/>
            <w:shd w:val="clear" w:color="auto" w:fill="auto"/>
          </w:tcPr>
          <w:p w:rsidR="00A02A2A" w:rsidRPr="007537F7" w:rsidRDefault="00A02A2A" w:rsidP="007537F7">
            <w:pPr>
              <w:spacing w:after="0" w:line="240" w:lineRule="auto"/>
              <w:jc w:val="both"/>
              <w:rPr>
                <w:rFonts w:cs="Calibri"/>
                <w:b/>
                <w:bCs/>
                <w:sz w:val="20"/>
                <w:szCs w:val="20"/>
              </w:rPr>
            </w:pPr>
            <w:r w:rsidRPr="007537F7">
              <w:rPr>
                <w:rFonts w:cs="Calibri"/>
                <w:sz w:val="20"/>
                <w:szCs w:val="20"/>
              </w:rPr>
              <w:t xml:space="preserve">Delegating and reviewing internal controls, process improvement and breach of internal policies, procedures and quarterly SOX reviews within all operational locations of Middle East, Asia and Australia. </w:t>
            </w:r>
          </w:p>
        </w:tc>
      </w:tr>
      <w:tr w:rsidR="00A02A2A" w:rsidRPr="007537F7" w:rsidTr="0021472B">
        <w:tc>
          <w:tcPr>
            <w:tcW w:w="5423" w:type="dxa"/>
            <w:shd w:val="clear" w:color="auto" w:fill="auto"/>
          </w:tcPr>
          <w:p w:rsidR="00A02A2A" w:rsidRPr="007537F7" w:rsidRDefault="00A02A2A" w:rsidP="007537F7">
            <w:pPr>
              <w:spacing w:after="0" w:line="240" w:lineRule="auto"/>
              <w:rPr>
                <w:rFonts w:cs="Calibri"/>
                <w:sz w:val="20"/>
                <w:szCs w:val="20"/>
              </w:rPr>
            </w:pPr>
          </w:p>
        </w:tc>
        <w:tc>
          <w:tcPr>
            <w:tcW w:w="5424" w:type="dxa"/>
            <w:shd w:val="clear" w:color="auto" w:fill="auto"/>
          </w:tcPr>
          <w:p w:rsidR="00A02A2A" w:rsidRPr="007537F7" w:rsidRDefault="00A02A2A" w:rsidP="007537F7">
            <w:pPr>
              <w:spacing w:after="0" w:line="240" w:lineRule="auto"/>
              <w:rPr>
                <w:rFonts w:cs="Calibri"/>
                <w:b/>
                <w:bCs/>
                <w:sz w:val="20"/>
                <w:szCs w:val="20"/>
              </w:rPr>
            </w:pPr>
          </w:p>
        </w:tc>
      </w:tr>
      <w:tr w:rsidR="00A02A2A" w:rsidRPr="007537F7" w:rsidTr="0021472B">
        <w:trPr>
          <w:trHeight w:val="359"/>
        </w:trPr>
        <w:tc>
          <w:tcPr>
            <w:tcW w:w="5423" w:type="dxa"/>
            <w:shd w:val="clear" w:color="auto" w:fill="auto"/>
          </w:tcPr>
          <w:p w:rsidR="00A02A2A"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Financial analysis of country performance.</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Analysis of product cost and performance.</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Country Balance Sheet review.</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Policy adherence audit</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Analysis of revenue recognition.</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Review and audit of Internal Controls.</w:t>
            </w:r>
          </w:p>
        </w:tc>
        <w:tc>
          <w:tcPr>
            <w:tcW w:w="5424" w:type="dxa"/>
            <w:shd w:val="clear" w:color="auto" w:fill="auto"/>
          </w:tcPr>
          <w:p w:rsidR="00A02A2A"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Incident review and audit.</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Supply chain/procurement process review.</w:t>
            </w:r>
          </w:p>
          <w:p w:rsidR="00AB78A8" w:rsidRPr="007537F7" w:rsidRDefault="00AB78A8" w:rsidP="007537F7">
            <w:pPr>
              <w:pStyle w:val="ColorfulList-Accent1"/>
              <w:numPr>
                <w:ilvl w:val="0"/>
                <w:numId w:val="1"/>
              </w:numPr>
              <w:spacing w:after="0" w:line="240" w:lineRule="auto"/>
              <w:rPr>
                <w:rFonts w:cs="Calibri"/>
                <w:sz w:val="20"/>
                <w:szCs w:val="20"/>
              </w:rPr>
            </w:pPr>
            <w:r w:rsidRPr="007537F7">
              <w:rPr>
                <w:rFonts w:cs="Calibri"/>
                <w:sz w:val="20"/>
                <w:szCs w:val="20"/>
              </w:rPr>
              <w:t>Audit reporting and presentation.</w:t>
            </w:r>
          </w:p>
          <w:p w:rsidR="00AB78A8" w:rsidRPr="007537F7" w:rsidRDefault="00AB78A8" w:rsidP="007537F7">
            <w:pPr>
              <w:pStyle w:val="ColorfulList-Accent1"/>
              <w:numPr>
                <w:ilvl w:val="0"/>
                <w:numId w:val="1"/>
              </w:numPr>
              <w:spacing w:after="0" w:line="240" w:lineRule="auto"/>
              <w:rPr>
                <w:rFonts w:cs="Calibri"/>
                <w:b/>
                <w:bCs/>
                <w:sz w:val="20"/>
                <w:szCs w:val="20"/>
              </w:rPr>
            </w:pPr>
            <w:r w:rsidRPr="007537F7">
              <w:rPr>
                <w:rFonts w:cs="Calibri"/>
                <w:sz w:val="20"/>
                <w:szCs w:val="20"/>
              </w:rPr>
              <w:t>System integrity and analysis.</w:t>
            </w:r>
          </w:p>
        </w:tc>
      </w:tr>
    </w:tbl>
    <w:p w:rsidR="0021472B" w:rsidRPr="007537F7" w:rsidRDefault="0021472B" w:rsidP="0021472B">
      <w:pPr>
        <w:pBdr>
          <w:bottom w:val="single" w:sz="6" w:space="1" w:color="auto"/>
        </w:pBdr>
        <w:spacing w:after="0" w:line="240" w:lineRule="auto"/>
        <w:rPr>
          <w:rFonts w:cs="Calibri"/>
          <w:b/>
          <w:bCs/>
          <w:sz w:val="10"/>
          <w:szCs w:val="10"/>
        </w:rPr>
      </w:pPr>
    </w:p>
    <w:p w:rsidR="00AB78A8" w:rsidRPr="007537F7" w:rsidRDefault="00AB78A8" w:rsidP="002472A0">
      <w:pPr>
        <w:spacing w:after="0" w:line="240" w:lineRule="auto"/>
        <w:rPr>
          <w:rFonts w:cs="Calibri"/>
          <w:b/>
          <w:bCs/>
          <w:sz w:val="10"/>
          <w:szCs w:val="10"/>
        </w:rPr>
      </w:pPr>
    </w:p>
    <w:tbl>
      <w:tblPr>
        <w:tblW w:w="0" w:type="auto"/>
        <w:tblLook w:val="04A0" w:firstRow="1" w:lastRow="0" w:firstColumn="1" w:lastColumn="0" w:noHBand="0" w:noVBand="1"/>
      </w:tblPr>
      <w:tblGrid>
        <w:gridCol w:w="5315"/>
        <w:gridCol w:w="5316"/>
      </w:tblGrid>
      <w:tr w:rsidR="00AB78A8" w:rsidRPr="007537F7" w:rsidTr="007537F7">
        <w:tc>
          <w:tcPr>
            <w:tcW w:w="5423" w:type="dxa"/>
            <w:shd w:val="clear" w:color="auto" w:fill="auto"/>
          </w:tcPr>
          <w:p w:rsidR="00AB78A8" w:rsidRPr="007537F7" w:rsidRDefault="00AB78A8" w:rsidP="007537F7">
            <w:pPr>
              <w:spacing w:after="0" w:line="240" w:lineRule="auto"/>
              <w:rPr>
                <w:rFonts w:cs="Calibri"/>
                <w:sz w:val="20"/>
                <w:szCs w:val="20"/>
              </w:rPr>
            </w:pPr>
            <w:r w:rsidRPr="007537F7">
              <w:rPr>
                <w:rFonts w:cs="Calibri"/>
                <w:sz w:val="20"/>
                <w:szCs w:val="20"/>
              </w:rPr>
              <w:t>June 2004 – July 2007</w:t>
            </w:r>
          </w:p>
        </w:tc>
        <w:tc>
          <w:tcPr>
            <w:tcW w:w="5424" w:type="dxa"/>
            <w:shd w:val="clear" w:color="auto" w:fill="auto"/>
          </w:tcPr>
          <w:p w:rsidR="00AB78A8" w:rsidRPr="007537F7" w:rsidRDefault="00AB78A8" w:rsidP="007537F7">
            <w:pPr>
              <w:spacing w:after="0" w:line="240" w:lineRule="auto"/>
              <w:rPr>
                <w:rFonts w:cs="Calibri"/>
                <w:sz w:val="20"/>
                <w:szCs w:val="20"/>
              </w:rPr>
            </w:pPr>
            <w:r w:rsidRPr="007537F7">
              <w:rPr>
                <w:rFonts w:cs="Calibri"/>
                <w:b/>
                <w:bCs/>
                <w:sz w:val="20"/>
                <w:szCs w:val="20"/>
              </w:rPr>
              <w:t>Grant Thornton (Formally William Buck Chartered Accountants) – Melbourne, Australia</w:t>
            </w:r>
          </w:p>
          <w:p w:rsidR="00AB78A8" w:rsidRPr="007537F7" w:rsidRDefault="00AB78A8" w:rsidP="007537F7">
            <w:pPr>
              <w:spacing w:after="0" w:line="240" w:lineRule="auto"/>
              <w:rPr>
                <w:rFonts w:cs="Calibri"/>
                <w:sz w:val="20"/>
                <w:szCs w:val="20"/>
              </w:rPr>
            </w:pPr>
            <w:r w:rsidRPr="007537F7">
              <w:rPr>
                <w:rFonts w:cs="Calibri"/>
                <w:sz w:val="20"/>
                <w:szCs w:val="20"/>
              </w:rPr>
              <w:t>2</w:t>
            </w:r>
            <w:r w:rsidRPr="007537F7">
              <w:rPr>
                <w:rFonts w:cs="Calibri"/>
                <w:sz w:val="20"/>
                <w:szCs w:val="20"/>
                <w:vertAlign w:val="superscript"/>
              </w:rPr>
              <w:t>nd</w:t>
            </w:r>
            <w:r w:rsidRPr="007537F7">
              <w:rPr>
                <w:rFonts w:cs="Calibri"/>
                <w:sz w:val="20"/>
                <w:szCs w:val="20"/>
              </w:rPr>
              <w:t xml:space="preserve"> Tier Chartered Accounting Firm</w:t>
            </w:r>
          </w:p>
          <w:p w:rsidR="00AB78A8" w:rsidRPr="007537F7" w:rsidRDefault="00AB78A8" w:rsidP="007537F7">
            <w:pPr>
              <w:spacing w:after="0" w:line="240" w:lineRule="auto"/>
              <w:rPr>
                <w:rFonts w:cs="Calibri"/>
                <w:sz w:val="20"/>
                <w:szCs w:val="20"/>
                <w:u w:val="single"/>
              </w:rPr>
            </w:pPr>
            <w:r w:rsidRPr="007537F7">
              <w:rPr>
                <w:rFonts w:cs="Calibri"/>
                <w:sz w:val="20"/>
                <w:szCs w:val="20"/>
                <w:u w:val="single"/>
              </w:rPr>
              <w:t>Senior Auditor</w:t>
            </w:r>
          </w:p>
        </w:tc>
      </w:tr>
      <w:tr w:rsidR="00AB78A8" w:rsidRPr="007537F7" w:rsidTr="007537F7">
        <w:tc>
          <w:tcPr>
            <w:tcW w:w="5423" w:type="dxa"/>
            <w:shd w:val="clear" w:color="auto" w:fill="auto"/>
          </w:tcPr>
          <w:p w:rsidR="00AB78A8" w:rsidRPr="007537F7" w:rsidRDefault="00AB78A8" w:rsidP="007537F7">
            <w:pPr>
              <w:spacing w:after="0" w:line="240" w:lineRule="auto"/>
              <w:rPr>
                <w:rFonts w:cs="Calibri"/>
                <w:sz w:val="20"/>
                <w:szCs w:val="20"/>
              </w:rPr>
            </w:pPr>
          </w:p>
        </w:tc>
        <w:tc>
          <w:tcPr>
            <w:tcW w:w="5424" w:type="dxa"/>
            <w:shd w:val="clear" w:color="auto" w:fill="auto"/>
          </w:tcPr>
          <w:p w:rsidR="00AB78A8" w:rsidRPr="007537F7" w:rsidRDefault="00AB78A8" w:rsidP="007537F7">
            <w:pPr>
              <w:spacing w:after="0" w:line="240" w:lineRule="auto"/>
              <w:rPr>
                <w:rFonts w:cs="Calibri"/>
                <w:b/>
                <w:bCs/>
                <w:sz w:val="16"/>
                <w:szCs w:val="16"/>
              </w:rPr>
            </w:pPr>
          </w:p>
        </w:tc>
      </w:tr>
      <w:tr w:rsidR="00AB78A8" w:rsidRPr="007537F7" w:rsidTr="007537F7">
        <w:tc>
          <w:tcPr>
            <w:tcW w:w="10847" w:type="dxa"/>
            <w:gridSpan w:val="2"/>
            <w:shd w:val="clear" w:color="auto" w:fill="auto"/>
          </w:tcPr>
          <w:p w:rsidR="00AB78A8" w:rsidRPr="007537F7" w:rsidRDefault="00AB78A8" w:rsidP="007537F7">
            <w:pPr>
              <w:spacing w:after="0" w:line="240" w:lineRule="auto"/>
              <w:jc w:val="both"/>
              <w:rPr>
                <w:rFonts w:cs="Calibri"/>
                <w:b/>
                <w:bCs/>
                <w:sz w:val="20"/>
                <w:szCs w:val="20"/>
              </w:rPr>
            </w:pPr>
            <w:r w:rsidRPr="007537F7">
              <w:rPr>
                <w:rFonts w:cs="Calibri"/>
                <w:sz w:val="20"/>
                <w:szCs w:val="20"/>
              </w:rPr>
              <w:t xml:space="preserve">Leading a team of 2 – 3 auditors at any one time, reporting to an Audit Manager preparing </w:t>
            </w:r>
            <w:r w:rsidR="001D624D" w:rsidRPr="007537F7">
              <w:rPr>
                <w:rFonts w:cs="Calibri"/>
                <w:sz w:val="20"/>
                <w:szCs w:val="20"/>
              </w:rPr>
              <w:t>audit</w:t>
            </w:r>
            <w:r w:rsidRPr="007537F7">
              <w:rPr>
                <w:rFonts w:cs="Calibri"/>
                <w:sz w:val="20"/>
                <w:szCs w:val="20"/>
              </w:rPr>
              <w:t xml:space="preserve"> plans and risk analysis, based on known client internal controls and processes. With the team, performing annual, interim and </w:t>
            </w:r>
            <w:proofErr w:type="spellStart"/>
            <w:r w:rsidRPr="007537F7">
              <w:rPr>
                <w:rFonts w:cs="Calibri"/>
                <w:sz w:val="20"/>
                <w:szCs w:val="20"/>
              </w:rPr>
              <w:t>adhoc</w:t>
            </w:r>
            <w:proofErr w:type="spellEnd"/>
            <w:r w:rsidRPr="007537F7">
              <w:rPr>
                <w:rFonts w:cs="Calibri"/>
                <w:sz w:val="20"/>
                <w:szCs w:val="20"/>
              </w:rPr>
              <w:t xml:space="preserve"> audits and preparation of client financial statements. </w:t>
            </w:r>
          </w:p>
        </w:tc>
      </w:tr>
      <w:tr w:rsidR="00AB78A8" w:rsidRPr="007537F7" w:rsidTr="007537F7">
        <w:tc>
          <w:tcPr>
            <w:tcW w:w="5423" w:type="dxa"/>
            <w:shd w:val="clear" w:color="auto" w:fill="auto"/>
          </w:tcPr>
          <w:p w:rsidR="00AB78A8" w:rsidRPr="007537F7" w:rsidRDefault="00AB78A8" w:rsidP="007537F7">
            <w:pPr>
              <w:spacing w:after="0" w:line="240" w:lineRule="auto"/>
              <w:rPr>
                <w:rFonts w:cs="Calibri"/>
                <w:sz w:val="20"/>
                <w:szCs w:val="20"/>
              </w:rPr>
            </w:pPr>
          </w:p>
        </w:tc>
        <w:tc>
          <w:tcPr>
            <w:tcW w:w="5424" w:type="dxa"/>
            <w:shd w:val="clear" w:color="auto" w:fill="auto"/>
          </w:tcPr>
          <w:p w:rsidR="00AB78A8" w:rsidRPr="007537F7" w:rsidRDefault="00AB78A8" w:rsidP="007537F7">
            <w:pPr>
              <w:spacing w:after="0" w:line="240" w:lineRule="auto"/>
              <w:rPr>
                <w:rFonts w:cs="Calibri"/>
                <w:b/>
                <w:bCs/>
                <w:sz w:val="20"/>
                <w:szCs w:val="20"/>
              </w:rPr>
            </w:pPr>
          </w:p>
        </w:tc>
      </w:tr>
      <w:tr w:rsidR="00AB78A8" w:rsidRPr="007537F7" w:rsidTr="007537F7">
        <w:trPr>
          <w:trHeight w:val="359"/>
        </w:trPr>
        <w:tc>
          <w:tcPr>
            <w:tcW w:w="5423" w:type="dxa"/>
            <w:shd w:val="clear" w:color="auto" w:fill="auto"/>
          </w:tcPr>
          <w:p w:rsidR="00AB78A8"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Audit planning.</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Managing audit field work.</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Preparation of IFRS statutory financial statements.</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Analysis of revenue and expenses.</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Audit reporting and presentations.</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Risk analysis and profiling.</w:t>
            </w:r>
          </w:p>
          <w:p w:rsidR="001D624D" w:rsidRPr="007537F7" w:rsidRDefault="001D624D" w:rsidP="007537F7">
            <w:pPr>
              <w:pStyle w:val="ColorfulList-Accent1"/>
              <w:numPr>
                <w:ilvl w:val="0"/>
                <w:numId w:val="1"/>
              </w:numPr>
              <w:spacing w:after="0" w:line="240" w:lineRule="auto"/>
              <w:rPr>
                <w:rFonts w:cs="Calibri"/>
                <w:sz w:val="20"/>
                <w:szCs w:val="20"/>
              </w:rPr>
            </w:pPr>
            <w:r w:rsidRPr="007537F7">
              <w:rPr>
                <w:rFonts w:cs="Calibri"/>
                <w:sz w:val="20"/>
                <w:szCs w:val="20"/>
              </w:rPr>
              <w:t>Tailoring audit testing and programs.</w:t>
            </w:r>
          </w:p>
        </w:tc>
        <w:tc>
          <w:tcPr>
            <w:tcW w:w="5424" w:type="dxa"/>
            <w:shd w:val="clear" w:color="auto" w:fill="auto"/>
          </w:tcPr>
          <w:p w:rsidR="001D624D" w:rsidRPr="007537F7" w:rsidRDefault="001D624D" w:rsidP="007537F7">
            <w:pPr>
              <w:spacing w:after="0" w:line="240" w:lineRule="auto"/>
              <w:rPr>
                <w:rFonts w:cs="Calibri"/>
                <w:i/>
                <w:iCs/>
                <w:sz w:val="20"/>
                <w:szCs w:val="20"/>
                <w:u w:val="single"/>
              </w:rPr>
            </w:pPr>
            <w:r w:rsidRPr="007537F7">
              <w:rPr>
                <w:rFonts w:cs="Calibri"/>
                <w:i/>
                <w:iCs/>
                <w:sz w:val="20"/>
                <w:szCs w:val="20"/>
                <w:u w:val="single"/>
              </w:rPr>
              <w:t>Industry exposure</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National Energy Provider</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Nautical governmental navy marines (Malaysia)</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Motor Vehicle parts manufacturer</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Gaming</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Legal Firms</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Hoteliers, Hospitality &amp; Leisure</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Educational institutions</w:t>
            </w:r>
          </w:p>
          <w:p w:rsidR="001D624D" w:rsidRPr="007537F7" w:rsidRDefault="001D624D" w:rsidP="007537F7">
            <w:pPr>
              <w:keepLines/>
              <w:numPr>
                <w:ilvl w:val="0"/>
                <w:numId w:val="3"/>
              </w:numPr>
              <w:spacing w:after="0" w:line="240" w:lineRule="auto"/>
              <w:rPr>
                <w:rFonts w:cs="Calibri"/>
                <w:sz w:val="20"/>
                <w:szCs w:val="20"/>
              </w:rPr>
            </w:pPr>
            <w:r w:rsidRPr="007537F7">
              <w:rPr>
                <w:rFonts w:cs="Calibri"/>
                <w:sz w:val="20"/>
                <w:szCs w:val="20"/>
              </w:rPr>
              <w:t>Property Development (construction)</w:t>
            </w:r>
          </w:p>
          <w:p w:rsidR="00AB78A8" w:rsidRPr="007537F7" w:rsidRDefault="001D624D" w:rsidP="007537F7">
            <w:pPr>
              <w:pStyle w:val="ColorfulList-Accent1"/>
              <w:numPr>
                <w:ilvl w:val="0"/>
                <w:numId w:val="3"/>
              </w:numPr>
              <w:spacing w:after="0" w:line="240" w:lineRule="auto"/>
              <w:rPr>
                <w:rFonts w:cs="Calibri"/>
                <w:b/>
                <w:bCs/>
                <w:sz w:val="20"/>
                <w:szCs w:val="20"/>
              </w:rPr>
            </w:pPr>
            <w:r w:rsidRPr="007537F7">
              <w:rPr>
                <w:rFonts w:cs="Calibri"/>
                <w:sz w:val="20"/>
                <w:szCs w:val="20"/>
              </w:rPr>
              <w:t>Investment / Financial institution</w:t>
            </w:r>
          </w:p>
        </w:tc>
      </w:tr>
    </w:tbl>
    <w:p w:rsidR="0021472B" w:rsidRPr="007537F7" w:rsidRDefault="0021472B" w:rsidP="0021472B">
      <w:pPr>
        <w:pBdr>
          <w:bottom w:val="single" w:sz="6" w:space="1" w:color="auto"/>
        </w:pBdr>
        <w:spacing w:after="0" w:line="240" w:lineRule="auto"/>
        <w:rPr>
          <w:rFonts w:cs="Calibri"/>
          <w:b/>
          <w:bCs/>
          <w:sz w:val="10"/>
          <w:szCs w:val="10"/>
        </w:rPr>
      </w:pPr>
    </w:p>
    <w:p w:rsidR="0021472B" w:rsidRPr="007537F7" w:rsidRDefault="0021472B" w:rsidP="0021472B">
      <w:pPr>
        <w:spacing w:after="0" w:line="240" w:lineRule="auto"/>
        <w:rPr>
          <w:rFonts w:cs="Calibri"/>
          <w:b/>
          <w:bCs/>
          <w:sz w:val="10"/>
          <w:szCs w:val="10"/>
        </w:rPr>
      </w:pPr>
    </w:p>
    <w:p w:rsidR="001D624D" w:rsidRPr="007537F7" w:rsidRDefault="001D624D" w:rsidP="001D624D">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Education and Memberships:</w:t>
      </w:r>
    </w:p>
    <w:p w:rsidR="001D624D" w:rsidRPr="007537F7" w:rsidRDefault="001D624D" w:rsidP="00E412F7">
      <w:pPr>
        <w:spacing w:after="0" w:line="240" w:lineRule="auto"/>
        <w:rPr>
          <w:rFonts w:cs="Calibri"/>
          <w:b/>
          <w:bCs/>
          <w:sz w:val="10"/>
          <w:szCs w:val="10"/>
        </w:rPr>
      </w:pPr>
    </w:p>
    <w:p w:rsidR="001D624D" w:rsidRPr="007537F7" w:rsidRDefault="009F5094" w:rsidP="001D624D">
      <w:pPr>
        <w:pStyle w:val="ColorfulList-Accent1"/>
        <w:numPr>
          <w:ilvl w:val="0"/>
          <w:numId w:val="4"/>
        </w:numPr>
        <w:spacing w:after="0" w:line="240" w:lineRule="auto"/>
        <w:rPr>
          <w:rFonts w:cs="Calibri"/>
          <w:b/>
          <w:bCs/>
          <w:sz w:val="20"/>
          <w:szCs w:val="20"/>
        </w:rPr>
      </w:pPr>
      <w:r w:rsidRPr="007537F7">
        <w:rPr>
          <w:rFonts w:cs="Calibri"/>
          <w:b/>
          <w:bCs/>
          <w:sz w:val="20"/>
          <w:szCs w:val="20"/>
        </w:rPr>
        <w:t>Structured</w:t>
      </w:r>
      <w:r w:rsidR="001D624D" w:rsidRPr="007537F7">
        <w:rPr>
          <w:rFonts w:cs="Calibri"/>
          <w:b/>
          <w:bCs/>
          <w:sz w:val="20"/>
          <w:szCs w:val="20"/>
        </w:rPr>
        <w:t xml:space="preserve"> Trade &amp; Commodity Finance (Training Program)</w:t>
      </w:r>
    </w:p>
    <w:p w:rsidR="001D624D" w:rsidRPr="007537F7" w:rsidRDefault="001D624D" w:rsidP="001D624D">
      <w:pPr>
        <w:pStyle w:val="ColorfulList-Accent1"/>
        <w:spacing w:after="0" w:line="240" w:lineRule="auto"/>
        <w:ind w:left="360"/>
        <w:rPr>
          <w:rFonts w:cs="Calibri"/>
          <w:sz w:val="20"/>
          <w:szCs w:val="20"/>
        </w:rPr>
      </w:pPr>
      <w:r w:rsidRPr="007537F7">
        <w:rPr>
          <w:rFonts w:cs="Calibri"/>
          <w:sz w:val="20"/>
          <w:szCs w:val="20"/>
        </w:rPr>
        <w:t xml:space="preserve">Financial </w:t>
      </w:r>
      <w:proofErr w:type="spellStart"/>
      <w:r w:rsidRPr="007537F7">
        <w:rPr>
          <w:rFonts w:cs="Calibri"/>
          <w:sz w:val="20"/>
          <w:szCs w:val="20"/>
        </w:rPr>
        <w:t>Euromoney</w:t>
      </w:r>
      <w:proofErr w:type="spellEnd"/>
      <w:r w:rsidRPr="007537F7">
        <w:rPr>
          <w:rFonts w:cs="Calibri"/>
          <w:sz w:val="20"/>
          <w:szCs w:val="20"/>
        </w:rPr>
        <w:t xml:space="preserve"> Training – MENA</w:t>
      </w:r>
    </w:p>
    <w:p w:rsidR="001D624D" w:rsidRPr="007537F7" w:rsidRDefault="001D624D" w:rsidP="001D624D">
      <w:pPr>
        <w:pStyle w:val="ColorfulList-Accent1"/>
        <w:spacing w:after="0" w:line="240" w:lineRule="auto"/>
        <w:ind w:left="360"/>
        <w:rPr>
          <w:rFonts w:cs="Calibri"/>
          <w:sz w:val="10"/>
          <w:szCs w:val="10"/>
        </w:rPr>
      </w:pPr>
    </w:p>
    <w:p w:rsidR="001D624D" w:rsidRPr="007537F7" w:rsidRDefault="001D624D" w:rsidP="001D624D">
      <w:pPr>
        <w:pStyle w:val="ColorfulList-Accent1"/>
        <w:numPr>
          <w:ilvl w:val="0"/>
          <w:numId w:val="4"/>
        </w:numPr>
        <w:spacing w:after="0" w:line="240" w:lineRule="auto"/>
        <w:rPr>
          <w:rFonts w:cs="Calibri"/>
          <w:sz w:val="20"/>
          <w:szCs w:val="20"/>
        </w:rPr>
      </w:pPr>
      <w:r w:rsidRPr="007537F7">
        <w:rPr>
          <w:rFonts w:cs="Calibri"/>
          <w:b/>
          <w:bCs/>
          <w:sz w:val="20"/>
          <w:szCs w:val="20"/>
        </w:rPr>
        <w:t>CPA Member</w:t>
      </w:r>
    </w:p>
    <w:p w:rsidR="001D624D" w:rsidRPr="007537F7" w:rsidRDefault="001D624D" w:rsidP="001D624D">
      <w:pPr>
        <w:pStyle w:val="ColorfulList-Accent1"/>
        <w:spacing w:after="0" w:line="240" w:lineRule="auto"/>
        <w:ind w:left="360"/>
        <w:rPr>
          <w:rFonts w:cs="Calibri"/>
          <w:sz w:val="20"/>
          <w:szCs w:val="20"/>
        </w:rPr>
      </w:pPr>
      <w:r w:rsidRPr="007537F7">
        <w:rPr>
          <w:rFonts w:cs="Calibri"/>
          <w:sz w:val="20"/>
          <w:szCs w:val="20"/>
        </w:rPr>
        <w:t>CPA Australia</w:t>
      </w:r>
    </w:p>
    <w:p w:rsidR="001D624D" w:rsidRPr="007537F7" w:rsidRDefault="001D624D" w:rsidP="001D624D">
      <w:pPr>
        <w:spacing w:after="0" w:line="240" w:lineRule="auto"/>
        <w:rPr>
          <w:rFonts w:cs="Calibri"/>
          <w:sz w:val="10"/>
          <w:szCs w:val="10"/>
        </w:rPr>
      </w:pPr>
    </w:p>
    <w:p w:rsidR="001D624D" w:rsidRPr="007537F7" w:rsidRDefault="001D624D" w:rsidP="001D624D">
      <w:pPr>
        <w:pStyle w:val="ColorfulList-Accent1"/>
        <w:numPr>
          <w:ilvl w:val="0"/>
          <w:numId w:val="4"/>
        </w:numPr>
        <w:spacing w:after="0" w:line="240" w:lineRule="auto"/>
        <w:rPr>
          <w:rFonts w:cs="Calibri"/>
          <w:sz w:val="20"/>
          <w:szCs w:val="20"/>
        </w:rPr>
      </w:pPr>
      <w:r w:rsidRPr="007537F7">
        <w:rPr>
          <w:rFonts w:cs="Calibri"/>
          <w:b/>
          <w:bCs/>
          <w:sz w:val="20"/>
          <w:szCs w:val="20"/>
        </w:rPr>
        <w:t>Bachelor of Business (Accounting)</w:t>
      </w:r>
    </w:p>
    <w:p w:rsidR="001D624D" w:rsidRDefault="001D624D" w:rsidP="00726CDB">
      <w:pPr>
        <w:pStyle w:val="ColorfulList-Accent1"/>
        <w:spacing w:after="0" w:line="240" w:lineRule="auto"/>
        <w:ind w:left="360"/>
        <w:rPr>
          <w:rFonts w:cs="Calibri"/>
          <w:sz w:val="20"/>
          <w:szCs w:val="20"/>
        </w:rPr>
      </w:pPr>
      <w:r w:rsidRPr="007537F7">
        <w:rPr>
          <w:rFonts w:cs="Calibri"/>
          <w:sz w:val="20"/>
          <w:szCs w:val="20"/>
        </w:rPr>
        <w:t>Swinburne University – Australia</w:t>
      </w:r>
    </w:p>
    <w:p w:rsidR="0021472B" w:rsidRDefault="0021472B" w:rsidP="00726CDB">
      <w:pPr>
        <w:pStyle w:val="ColorfulList-Accent1"/>
        <w:spacing w:after="0" w:line="240" w:lineRule="auto"/>
        <w:ind w:left="360"/>
        <w:rPr>
          <w:rFonts w:cs="Calibri"/>
          <w:sz w:val="20"/>
          <w:szCs w:val="20"/>
        </w:rPr>
      </w:pPr>
    </w:p>
    <w:p w:rsidR="0021472B" w:rsidRPr="007537F7" w:rsidRDefault="0021472B" w:rsidP="0021472B">
      <w:pPr>
        <w:pStyle w:val="ColorfulList-Accent1"/>
        <w:numPr>
          <w:ilvl w:val="0"/>
          <w:numId w:val="4"/>
        </w:numPr>
        <w:spacing w:after="0" w:line="240" w:lineRule="auto"/>
        <w:rPr>
          <w:rFonts w:cs="Calibri"/>
          <w:sz w:val="20"/>
          <w:szCs w:val="20"/>
        </w:rPr>
      </w:pPr>
      <w:r>
        <w:rPr>
          <w:rFonts w:cs="Calibri"/>
          <w:b/>
          <w:bCs/>
          <w:sz w:val="20"/>
          <w:szCs w:val="20"/>
        </w:rPr>
        <w:t>Masters of Business Administration (Executive) - Current</w:t>
      </w:r>
    </w:p>
    <w:p w:rsidR="0021472B" w:rsidRDefault="0021472B" w:rsidP="0021472B">
      <w:pPr>
        <w:pStyle w:val="ColorfulList-Accent1"/>
        <w:spacing w:after="0" w:line="240" w:lineRule="auto"/>
        <w:ind w:left="360"/>
        <w:rPr>
          <w:rFonts w:cs="Calibri"/>
          <w:sz w:val="20"/>
          <w:szCs w:val="20"/>
        </w:rPr>
      </w:pPr>
      <w:r w:rsidRPr="007537F7">
        <w:rPr>
          <w:rFonts w:cs="Calibri"/>
          <w:sz w:val="20"/>
          <w:szCs w:val="20"/>
        </w:rPr>
        <w:t>Swinburne University – Australia</w:t>
      </w:r>
    </w:p>
    <w:p w:rsidR="0021472B" w:rsidRPr="007537F7" w:rsidRDefault="0021472B" w:rsidP="00726CDB">
      <w:pPr>
        <w:pStyle w:val="ColorfulList-Accent1"/>
        <w:spacing w:after="0" w:line="240" w:lineRule="auto"/>
        <w:ind w:left="360"/>
        <w:rPr>
          <w:rFonts w:cs="Calibri"/>
          <w:sz w:val="20"/>
          <w:szCs w:val="20"/>
        </w:rPr>
      </w:pPr>
    </w:p>
    <w:p w:rsidR="00726CDB" w:rsidRPr="007537F7" w:rsidRDefault="00726CDB" w:rsidP="00726CDB">
      <w:pPr>
        <w:pStyle w:val="ColorfulList-Accent1"/>
        <w:spacing w:after="0" w:line="240" w:lineRule="auto"/>
        <w:ind w:left="360"/>
        <w:rPr>
          <w:rFonts w:cs="Calibri"/>
          <w:sz w:val="8"/>
          <w:szCs w:val="8"/>
        </w:rPr>
      </w:pPr>
    </w:p>
    <w:p w:rsidR="00E9094D" w:rsidRPr="007537F7" w:rsidRDefault="00E9094D" w:rsidP="00E9094D">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 xml:space="preserve">Work </w:t>
      </w:r>
      <w:r w:rsidR="00AA343D" w:rsidRPr="007537F7">
        <w:rPr>
          <w:rFonts w:cs="Calibri"/>
          <w:b/>
          <w:bCs/>
          <w:smallCaps/>
          <w:color w:val="1F497D"/>
          <w:sz w:val="28"/>
          <w:szCs w:val="28"/>
          <w:u w:val="single"/>
        </w:rPr>
        <w:t xml:space="preserve">and Acumen </w:t>
      </w:r>
      <w:r w:rsidRPr="007537F7">
        <w:rPr>
          <w:rFonts w:cs="Calibri"/>
          <w:b/>
          <w:bCs/>
          <w:smallCaps/>
          <w:color w:val="1F497D"/>
          <w:sz w:val="28"/>
          <w:szCs w:val="28"/>
          <w:u w:val="single"/>
        </w:rPr>
        <w:t>Skills:</w:t>
      </w:r>
    </w:p>
    <w:p w:rsidR="001D624D" w:rsidRPr="007537F7" w:rsidRDefault="001D624D" w:rsidP="001D624D">
      <w:pPr>
        <w:spacing w:after="0" w:line="240" w:lineRule="auto"/>
        <w:rPr>
          <w:rFonts w:cs="Calibri"/>
          <w:sz w:val="10"/>
          <w:szCs w:val="10"/>
        </w:rPr>
      </w:pPr>
    </w:p>
    <w:tbl>
      <w:tblPr>
        <w:tblW w:w="0" w:type="auto"/>
        <w:tblLook w:val="04A0" w:firstRow="1" w:lastRow="0" w:firstColumn="1" w:lastColumn="0" w:noHBand="0" w:noVBand="1"/>
      </w:tblPr>
      <w:tblGrid>
        <w:gridCol w:w="3546"/>
        <w:gridCol w:w="3541"/>
        <w:gridCol w:w="3544"/>
      </w:tblGrid>
      <w:tr w:rsidR="00E9094D" w:rsidRPr="007537F7" w:rsidTr="007537F7">
        <w:tc>
          <w:tcPr>
            <w:tcW w:w="3615" w:type="dxa"/>
            <w:shd w:val="clear" w:color="auto" w:fill="auto"/>
          </w:tcPr>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Business partnering.</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Presentation skills.</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Oral communication skills.</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Report writing.</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Team work</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Team training and mentoring.</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Problem resolution.</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Proposal preparations.</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Time management.</w:t>
            </w:r>
          </w:p>
          <w:p w:rsidR="00AA343D" w:rsidRPr="007537F7" w:rsidRDefault="00AA343D" w:rsidP="007537F7">
            <w:pPr>
              <w:keepLines/>
              <w:numPr>
                <w:ilvl w:val="0"/>
                <w:numId w:val="4"/>
              </w:numPr>
              <w:spacing w:after="0" w:line="240" w:lineRule="auto"/>
              <w:rPr>
                <w:rFonts w:cs="Calibri"/>
                <w:sz w:val="20"/>
                <w:szCs w:val="20"/>
              </w:rPr>
            </w:pPr>
            <w:r w:rsidRPr="007537F7">
              <w:rPr>
                <w:rFonts w:cs="Calibri"/>
                <w:sz w:val="20"/>
                <w:szCs w:val="20"/>
              </w:rPr>
              <w:t>Excellent teamwork, organization etiquette.</w:t>
            </w:r>
          </w:p>
          <w:p w:rsidR="00AA343D" w:rsidRPr="007537F7" w:rsidRDefault="00AA343D" w:rsidP="007537F7">
            <w:pPr>
              <w:keepLines/>
              <w:numPr>
                <w:ilvl w:val="0"/>
                <w:numId w:val="4"/>
              </w:numPr>
              <w:spacing w:after="0" w:line="240" w:lineRule="auto"/>
              <w:rPr>
                <w:rFonts w:cs="Calibri"/>
                <w:sz w:val="20"/>
                <w:szCs w:val="20"/>
              </w:rPr>
            </w:pPr>
            <w:r w:rsidRPr="007537F7">
              <w:rPr>
                <w:rFonts w:cs="Calibri"/>
                <w:sz w:val="20"/>
                <w:szCs w:val="20"/>
              </w:rPr>
              <w:t xml:space="preserve">Strong negotiation skills. </w:t>
            </w:r>
          </w:p>
          <w:p w:rsidR="00AA343D" w:rsidRPr="007537F7" w:rsidRDefault="00AA343D" w:rsidP="007537F7">
            <w:pPr>
              <w:keepLines/>
              <w:numPr>
                <w:ilvl w:val="0"/>
                <w:numId w:val="4"/>
              </w:numPr>
              <w:spacing w:after="0" w:line="240" w:lineRule="auto"/>
              <w:rPr>
                <w:rFonts w:cs="Calibri"/>
                <w:sz w:val="20"/>
                <w:szCs w:val="20"/>
              </w:rPr>
            </w:pPr>
            <w:r w:rsidRPr="007537F7">
              <w:rPr>
                <w:rFonts w:cs="Calibri"/>
                <w:sz w:val="20"/>
                <w:szCs w:val="20"/>
              </w:rPr>
              <w:lastRenderedPageBreak/>
              <w:t>Ability to work under pressure and unsupervised.</w:t>
            </w:r>
          </w:p>
          <w:p w:rsidR="00AA343D" w:rsidRPr="007537F7" w:rsidRDefault="00AA343D" w:rsidP="007537F7">
            <w:pPr>
              <w:pStyle w:val="ColorfulList-Accent1"/>
              <w:spacing w:after="0" w:line="240" w:lineRule="auto"/>
              <w:ind w:left="360"/>
              <w:rPr>
                <w:rFonts w:cs="Calibri"/>
                <w:sz w:val="4"/>
                <w:szCs w:val="4"/>
              </w:rPr>
            </w:pPr>
          </w:p>
        </w:tc>
        <w:tc>
          <w:tcPr>
            <w:tcW w:w="3616" w:type="dxa"/>
            <w:shd w:val="clear" w:color="auto" w:fill="auto"/>
          </w:tcPr>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lastRenderedPageBreak/>
              <w:t>Accepting and acting upon responsibility.</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Being replied upon by other teams.</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Ability to exercise judgement and initiative.</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Confident and accountable.</w:t>
            </w:r>
          </w:p>
          <w:p w:rsidR="00E9094D" w:rsidRPr="007537F7" w:rsidRDefault="00E9094D" w:rsidP="007537F7">
            <w:pPr>
              <w:numPr>
                <w:ilvl w:val="0"/>
                <w:numId w:val="4"/>
              </w:numPr>
              <w:spacing w:after="0" w:line="240" w:lineRule="auto"/>
              <w:rPr>
                <w:rFonts w:ascii="Arial" w:hAnsi="Arial" w:cs="Arial"/>
                <w:szCs w:val="18"/>
              </w:rPr>
            </w:pPr>
            <w:r w:rsidRPr="007537F7">
              <w:rPr>
                <w:rFonts w:cs="Calibri"/>
                <w:sz w:val="20"/>
                <w:szCs w:val="20"/>
              </w:rPr>
              <w:t>Ability to create a solid professional relationship with clients</w:t>
            </w:r>
          </w:p>
          <w:p w:rsidR="00AA343D" w:rsidRPr="007537F7" w:rsidRDefault="00AA343D" w:rsidP="007537F7">
            <w:pPr>
              <w:numPr>
                <w:ilvl w:val="0"/>
                <w:numId w:val="4"/>
              </w:numPr>
              <w:spacing w:after="0" w:line="240" w:lineRule="auto"/>
              <w:rPr>
                <w:rFonts w:ascii="Arial" w:hAnsi="Arial" w:cs="Arial"/>
                <w:szCs w:val="18"/>
              </w:rPr>
            </w:pPr>
            <w:r w:rsidRPr="007537F7">
              <w:rPr>
                <w:rFonts w:cs="Calibri"/>
                <w:sz w:val="20"/>
                <w:szCs w:val="20"/>
              </w:rPr>
              <w:t>Ability to meet set targets and deadlines.</w:t>
            </w:r>
          </w:p>
          <w:p w:rsidR="00AA343D" w:rsidRPr="007537F7" w:rsidRDefault="00AA343D" w:rsidP="007537F7">
            <w:pPr>
              <w:keepLines/>
              <w:numPr>
                <w:ilvl w:val="0"/>
                <w:numId w:val="4"/>
              </w:numPr>
              <w:spacing w:after="0" w:line="240" w:lineRule="auto"/>
              <w:rPr>
                <w:rFonts w:cs="Calibri"/>
                <w:sz w:val="20"/>
                <w:szCs w:val="20"/>
              </w:rPr>
            </w:pPr>
            <w:r w:rsidRPr="007537F7">
              <w:rPr>
                <w:rFonts w:cs="Calibri"/>
                <w:sz w:val="20"/>
                <w:szCs w:val="20"/>
              </w:rPr>
              <w:t xml:space="preserve">Excellent problem solving skills. </w:t>
            </w:r>
          </w:p>
          <w:p w:rsidR="00AA343D" w:rsidRPr="007537F7" w:rsidRDefault="00AA343D" w:rsidP="007537F7">
            <w:pPr>
              <w:numPr>
                <w:ilvl w:val="0"/>
                <w:numId w:val="4"/>
              </w:numPr>
              <w:spacing w:after="0" w:line="240" w:lineRule="auto"/>
              <w:rPr>
                <w:rFonts w:cs="Calibri"/>
                <w:sz w:val="20"/>
                <w:szCs w:val="20"/>
              </w:rPr>
            </w:pPr>
            <w:r w:rsidRPr="007537F7">
              <w:rPr>
                <w:rFonts w:cs="Calibri"/>
                <w:sz w:val="20"/>
                <w:szCs w:val="20"/>
              </w:rPr>
              <w:lastRenderedPageBreak/>
              <w:t>Competence in the principals behind risk analysis and minimizing loss.</w:t>
            </w:r>
          </w:p>
          <w:p w:rsidR="00E9094D" w:rsidRPr="007537F7" w:rsidRDefault="00E9094D" w:rsidP="007537F7">
            <w:pPr>
              <w:pStyle w:val="ColorfulList-Accent1"/>
              <w:spacing w:after="0" w:line="240" w:lineRule="auto"/>
              <w:ind w:left="360"/>
              <w:rPr>
                <w:rFonts w:cs="Calibri"/>
                <w:sz w:val="20"/>
                <w:szCs w:val="20"/>
              </w:rPr>
            </w:pPr>
          </w:p>
        </w:tc>
        <w:tc>
          <w:tcPr>
            <w:tcW w:w="3616" w:type="dxa"/>
            <w:shd w:val="clear" w:color="auto" w:fill="auto"/>
          </w:tcPr>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lastRenderedPageBreak/>
              <w:t>Microsoft Excel</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SAP</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Business Warehouse (BW)</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HANA Reporting</w:t>
            </w:r>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 xml:space="preserve">MYOB / </w:t>
            </w:r>
            <w:proofErr w:type="spellStart"/>
            <w:r w:rsidRPr="007537F7">
              <w:rPr>
                <w:rFonts w:cs="Calibri"/>
                <w:sz w:val="20"/>
                <w:szCs w:val="20"/>
              </w:rPr>
              <w:t>Quickbooks</w:t>
            </w:r>
            <w:proofErr w:type="spellEnd"/>
          </w:p>
          <w:p w:rsidR="00E9094D" w:rsidRPr="007537F7" w:rsidRDefault="00E9094D" w:rsidP="007537F7">
            <w:pPr>
              <w:pStyle w:val="ColorfulList-Accent1"/>
              <w:numPr>
                <w:ilvl w:val="0"/>
                <w:numId w:val="4"/>
              </w:numPr>
              <w:spacing w:after="0" w:line="240" w:lineRule="auto"/>
              <w:rPr>
                <w:rFonts w:cs="Calibri"/>
                <w:sz w:val="20"/>
                <w:szCs w:val="20"/>
              </w:rPr>
            </w:pPr>
            <w:r w:rsidRPr="007537F7">
              <w:rPr>
                <w:rFonts w:cs="Calibri"/>
                <w:sz w:val="20"/>
                <w:szCs w:val="20"/>
              </w:rPr>
              <w:t>Hyperion/HFM</w:t>
            </w:r>
          </w:p>
        </w:tc>
      </w:tr>
    </w:tbl>
    <w:p w:rsidR="00AA343D" w:rsidRPr="007537F7" w:rsidRDefault="00AA343D" w:rsidP="00AA343D">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Interests and Hobbies:</w:t>
      </w:r>
    </w:p>
    <w:p w:rsidR="00AA343D" w:rsidRPr="007537F7" w:rsidRDefault="00AA343D" w:rsidP="00AA343D">
      <w:pPr>
        <w:spacing w:after="0" w:line="240" w:lineRule="auto"/>
        <w:rPr>
          <w:rFonts w:cs="Calibri"/>
          <w:b/>
          <w:bCs/>
          <w:smallCaps/>
          <w:color w:val="1F497D"/>
          <w:sz w:val="6"/>
          <w:szCs w:val="6"/>
        </w:rPr>
      </w:pPr>
    </w:p>
    <w:tbl>
      <w:tblPr>
        <w:tblW w:w="0" w:type="auto"/>
        <w:tblLook w:val="04A0" w:firstRow="1" w:lastRow="0" w:firstColumn="1" w:lastColumn="0" w:noHBand="0" w:noVBand="1"/>
      </w:tblPr>
      <w:tblGrid>
        <w:gridCol w:w="5318"/>
        <w:gridCol w:w="5313"/>
      </w:tblGrid>
      <w:tr w:rsidR="00AA343D" w:rsidRPr="007537F7" w:rsidTr="007537F7">
        <w:tc>
          <w:tcPr>
            <w:tcW w:w="5423" w:type="dxa"/>
            <w:shd w:val="clear" w:color="auto" w:fill="auto"/>
          </w:tcPr>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Photography.</w:t>
            </w:r>
          </w:p>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Art.</w:t>
            </w:r>
          </w:p>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Bowling.</w:t>
            </w:r>
          </w:p>
          <w:p w:rsidR="00726CDB" w:rsidRPr="007537F7" w:rsidRDefault="00726CDB" w:rsidP="007537F7">
            <w:pPr>
              <w:spacing w:after="0" w:line="240" w:lineRule="auto"/>
              <w:rPr>
                <w:rFonts w:cs="Calibri"/>
                <w:sz w:val="4"/>
                <w:szCs w:val="4"/>
              </w:rPr>
            </w:pPr>
          </w:p>
        </w:tc>
        <w:tc>
          <w:tcPr>
            <w:tcW w:w="5424" w:type="dxa"/>
            <w:shd w:val="clear" w:color="auto" w:fill="auto"/>
          </w:tcPr>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Swimming.</w:t>
            </w:r>
          </w:p>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Camping.</w:t>
            </w:r>
          </w:p>
          <w:p w:rsidR="00AA343D" w:rsidRPr="007537F7" w:rsidRDefault="00AA343D" w:rsidP="007537F7">
            <w:pPr>
              <w:pStyle w:val="ColorfulList-Accent1"/>
              <w:numPr>
                <w:ilvl w:val="0"/>
                <w:numId w:val="6"/>
              </w:numPr>
              <w:spacing w:after="0" w:line="240" w:lineRule="auto"/>
              <w:rPr>
                <w:rFonts w:cs="Calibri"/>
                <w:sz w:val="20"/>
                <w:szCs w:val="20"/>
              </w:rPr>
            </w:pPr>
            <w:r w:rsidRPr="007537F7">
              <w:rPr>
                <w:rFonts w:cs="Calibri"/>
                <w:sz w:val="20"/>
                <w:szCs w:val="20"/>
              </w:rPr>
              <w:t>Cooking.</w:t>
            </w:r>
          </w:p>
        </w:tc>
      </w:tr>
    </w:tbl>
    <w:p w:rsidR="00AA343D" w:rsidRPr="007537F7" w:rsidRDefault="00AA343D" w:rsidP="00AA343D">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Rights to Work in Australia and Languages:</w:t>
      </w:r>
    </w:p>
    <w:p w:rsidR="00AA343D" w:rsidRPr="007537F7" w:rsidRDefault="00AA343D" w:rsidP="00AA343D">
      <w:pPr>
        <w:spacing w:after="0" w:line="240" w:lineRule="auto"/>
        <w:rPr>
          <w:rFonts w:cs="Calibri"/>
          <w:smallCaps/>
          <w:color w:val="1F497D"/>
          <w:sz w:val="6"/>
          <w:szCs w:val="6"/>
        </w:rPr>
      </w:pPr>
    </w:p>
    <w:p w:rsidR="00AA343D" w:rsidRPr="007537F7" w:rsidRDefault="00AA343D" w:rsidP="00AA343D">
      <w:pPr>
        <w:pStyle w:val="ColorfulList-Accent1"/>
        <w:numPr>
          <w:ilvl w:val="0"/>
          <w:numId w:val="6"/>
        </w:numPr>
        <w:spacing w:after="0" w:line="240" w:lineRule="auto"/>
        <w:rPr>
          <w:rFonts w:cs="Calibri"/>
          <w:sz w:val="20"/>
          <w:szCs w:val="20"/>
        </w:rPr>
      </w:pPr>
      <w:r w:rsidRPr="007537F7">
        <w:rPr>
          <w:rFonts w:cs="Calibri"/>
          <w:sz w:val="20"/>
          <w:szCs w:val="20"/>
        </w:rPr>
        <w:t>Australian Citizen by birth</w:t>
      </w:r>
    </w:p>
    <w:p w:rsidR="00AA343D" w:rsidRPr="007537F7" w:rsidRDefault="00AA343D" w:rsidP="00AA343D">
      <w:pPr>
        <w:pStyle w:val="ColorfulList-Accent1"/>
        <w:numPr>
          <w:ilvl w:val="0"/>
          <w:numId w:val="6"/>
        </w:numPr>
        <w:spacing w:after="0" w:line="240" w:lineRule="auto"/>
        <w:rPr>
          <w:rFonts w:cs="Calibri"/>
          <w:sz w:val="20"/>
          <w:szCs w:val="20"/>
        </w:rPr>
      </w:pPr>
      <w:r w:rsidRPr="007537F7">
        <w:rPr>
          <w:rFonts w:cs="Calibri"/>
          <w:sz w:val="20"/>
          <w:szCs w:val="20"/>
        </w:rPr>
        <w:t>English Language – Native (written and spoken)</w:t>
      </w:r>
    </w:p>
    <w:p w:rsidR="00AA343D" w:rsidRPr="007537F7" w:rsidRDefault="00AA343D" w:rsidP="00AA343D">
      <w:pPr>
        <w:pStyle w:val="ColorfulList-Accent1"/>
        <w:numPr>
          <w:ilvl w:val="0"/>
          <w:numId w:val="6"/>
        </w:numPr>
        <w:spacing w:after="0" w:line="240" w:lineRule="auto"/>
        <w:rPr>
          <w:rFonts w:cs="Calibri"/>
          <w:sz w:val="20"/>
          <w:szCs w:val="20"/>
        </w:rPr>
      </w:pPr>
      <w:r w:rsidRPr="007537F7">
        <w:rPr>
          <w:rFonts w:cs="Calibri"/>
          <w:sz w:val="20"/>
          <w:szCs w:val="20"/>
        </w:rPr>
        <w:t>Arabic Language and main dialects – Fluent (written and spoken)</w:t>
      </w:r>
    </w:p>
    <w:p w:rsidR="00AA343D" w:rsidRPr="007537F7" w:rsidRDefault="00AA343D" w:rsidP="00AA343D">
      <w:pPr>
        <w:spacing w:after="0" w:line="240" w:lineRule="auto"/>
        <w:rPr>
          <w:rFonts w:cs="Calibri"/>
          <w:sz w:val="6"/>
          <w:szCs w:val="6"/>
        </w:rPr>
      </w:pPr>
    </w:p>
    <w:p w:rsidR="00AA343D" w:rsidRPr="007537F7" w:rsidRDefault="00AA343D" w:rsidP="00AA343D">
      <w:pPr>
        <w:spacing w:after="0" w:line="240" w:lineRule="auto"/>
        <w:rPr>
          <w:rFonts w:cs="Calibri"/>
          <w:b/>
          <w:bCs/>
          <w:smallCaps/>
          <w:color w:val="1F497D"/>
          <w:sz w:val="28"/>
          <w:szCs w:val="28"/>
          <w:u w:val="single"/>
        </w:rPr>
      </w:pPr>
      <w:r w:rsidRPr="007537F7">
        <w:rPr>
          <w:rFonts w:cs="Calibri"/>
          <w:b/>
          <w:bCs/>
          <w:smallCaps/>
          <w:color w:val="1F497D"/>
          <w:sz w:val="28"/>
          <w:szCs w:val="28"/>
          <w:u w:val="single"/>
        </w:rPr>
        <w:t>Referee</w:t>
      </w:r>
    </w:p>
    <w:p w:rsidR="00AA343D" w:rsidRPr="007537F7" w:rsidRDefault="00AA343D" w:rsidP="00AA343D">
      <w:pPr>
        <w:spacing w:after="0" w:line="240" w:lineRule="auto"/>
        <w:rPr>
          <w:rFonts w:cs="Calibri"/>
          <w:smallCaps/>
          <w:color w:val="1F497D"/>
          <w:sz w:val="6"/>
          <w:szCs w:val="6"/>
        </w:rPr>
      </w:pPr>
    </w:p>
    <w:p w:rsidR="00AA343D" w:rsidRPr="007537F7" w:rsidRDefault="00AA343D" w:rsidP="001D624D">
      <w:pPr>
        <w:pStyle w:val="ColorfulList-Accent1"/>
        <w:numPr>
          <w:ilvl w:val="0"/>
          <w:numId w:val="6"/>
        </w:numPr>
        <w:spacing w:after="0" w:line="240" w:lineRule="auto"/>
        <w:rPr>
          <w:rFonts w:cs="Calibri"/>
          <w:sz w:val="20"/>
          <w:szCs w:val="20"/>
        </w:rPr>
      </w:pPr>
      <w:r w:rsidRPr="007537F7">
        <w:rPr>
          <w:rFonts w:cs="Calibri"/>
          <w:sz w:val="20"/>
          <w:szCs w:val="20"/>
        </w:rPr>
        <w:t>Available upon request.</w:t>
      </w:r>
    </w:p>
    <w:sectPr w:rsidR="00AA343D" w:rsidRPr="007537F7" w:rsidSect="00DD48AB">
      <w:headerReference w:type="default" r:id="rId7"/>
      <w:headerReference w:type="first" r:id="rId8"/>
      <w:pgSz w:w="11906" w:h="16838"/>
      <w:pgMar w:top="1276" w:right="566" w:bottom="851" w:left="709"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7C8" w:rsidRDefault="00CC57C8" w:rsidP="00A83626">
      <w:pPr>
        <w:spacing w:after="0" w:line="240" w:lineRule="auto"/>
      </w:pPr>
      <w:r>
        <w:separator/>
      </w:r>
    </w:p>
  </w:endnote>
  <w:endnote w:type="continuationSeparator" w:id="0">
    <w:p w:rsidR="00CC57C8" w:rsidRDefault="00CC57C8" w:rsidP="00A8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7C8" w:rsidRDefault="00CC57C8" w:rsidP="00A83626">
      <w:pPr>
        <w:spacing w:after="0" w:line="240" w:lineRule="auto"/>
      </w:pPr>
      <w:r>
        <w:separator/>
      </w:r>
    </w:p>
  </w:footnote>
  <w:footnote w:type="continuationSeparator" w:id="0">
    <w:p w:rsidR="00CC57C8" w:rsidRDefault="00CC57C8" w:rsidP="00A8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321"/>
      <w:gridCol w:w="5310"/>
    </w:tblGrid>
    <w:tr w:rsidR="00E9094D" w:rsidRPr="007537F7" w:rsidTr="007537F7">
      <w:tc>
        <w:tcPr>
          <w:tcW w:w="5423" w:type="dxa"/>
          <w:shd w:val="clear" w:color="auto" w:fill="auto"/>
        </w:tcPr>
        <w:p w:rsidR="00E9094D" w:rsidRPr="007537F7" w:rsidRDefault="00E9094D" w:rsidP="00E9094D">
          <w:pPr>
            <w:pStyle w:val="Header"/>
            <w:rPr>
              <w:sz w:val="20"/>
              <w:szCs w:val="20"/>
            </w:rPr>
          </w:pPr>
          <w:r w:rsidRPr="007537F7">
            <w:rPr>
              <w:sz w:val="20"/>
              <w:szCs w:val="20"/>
            </w:rPr>
            <w:t xml:space="preserve">Curriculum Vitae: </w:t>
          </w:r>
          <w:r w:rsidRPr="007537F7">
            <w:rPr>
              <w:smallCaps/>
            </w:rPr>
            <w:t xml:space="preserve">Adam </w:t>
          </w:r>
          <w:r w:rsidR="00F86C47">
            <w:rPr>
              <w:smallCaps/>
            </w:rPr>
            <w:t>Eletr</w:t>
          </w:r>
        </w:p>
      </w:tc>
      <w:tc>
        <w:tcPr>
          <w:tcW w:w="5424" w:type="dxa"/>
          <w:shd w:val="clear" w:color="auto" w:fill="auto"/>
        </w:tcPr>
        <w:p w:rsidR="00E9094D" w:rsidRPr="007537F7" w:rsidRDefault="00E9094D" w:rsidP="007537F7">
          <w:pPr>
            <w:pStyle w:val="Header"/>
            <w:jc w:val="right"/>
            <w:rPr>
              <w:sz w:val="20"/>
              <w:szCs w:val="20"/>
            </w:rPr>
          </w:pPr>
          <w:r w:rsidRPr="007537F7">
            <w:rPr>
              <w:smallCaps/>
              <w:sz w:val="20"/>
              <w:szCs w:val="20"/>
            </w:rPr>
            <w:t xml:space="preserve">Page </w:t>
          </w:r>
          <w:r w:rsidRPr="007537F7">
            <w:rPr>
              <w:smallCaps/>
            </w:rPr>
            <w:fldChar w:fldCharType="begin"/>
          </w:r>
          <w:r w:rsidRPr="007537F7">
            <w:rPr>
              <w:smallCaps/>
              <w:sz w:val="20"/>
              <w:szCs w:val="20"/>
            </w:rPr>
            <w:instrText xml:space="preserve"> PAGE </w:instrText>
          </w:r>
          <w:r w:rsidRPr="007537F7">
            <w:rPr>
              <w:smallCaps/>
            </w:rPr>
            <w:fldChar w:fldCharType="separate"/>
          </w:r>
          <w:r w:rsidR="00026B0E">
            <w:rPr>
              <w:smallCaps/>
              <w:noProof/>
              <w:sz w:val="20"/>
              <w:szCs w:val="20"/>
            </w:rPr>
            <w:t>4</w:t>
          </w:r>
          <w:r w:rsidRPr="007537F7">
            <w:rPr>
              <w:smallCaps/>
            </w:rPr>
            <w:fldChar w:fldCharType="end"/>
          </w:r>
          <w:r w:rsidRPr="007537F7">
            <w:rPr>
              <w:smallCaps/>
              <w:sz w:val="20"/>
              <w:szCs w:val="20"/>
            </w:rPr>
            <w:t xml:space="preserve"> of </w:t>
          </w:r>
          <w:r w:rsidRPr="007537F7">
            <w:rPr>
              <w:smallCaps/>
            </w:rPr>
            <w:fldChar w:fldCharType="begin"/>
          </w:r>
          <w:r w:rsidRPr="007537F7">
            <w:rPr>
              <w:smallCaps/>
              <w:sz w:val="20"/>
              <w:szCs w:val="20"/>
            </w:rPr>
            <w:instrText xml:space="preserve"> NUMPAGES  </w:instrText>
          </w:r>
          <w:r w:rsidRPr="007537F7">
            <w:rPr>
              <w:smallCaps/>
            </w:rPr>
            <w:fldChar w:fldCharType="separate"/>
          </w:r>
          <w:r w:rsidR="00026B0E">
            <w:rPr>
              <w:smallCaps/>
              <w:noProof/>
              <w:sz w:val="20"/>
              <w:szCs w:val="20"/>
            </w:rPr>
            <w:t>4</w:t>
          </w:r>
          <w:r w:rsidRPr="007537F7">
            <w:rPr>
              <w:smallCaps/>
            </w:rPr>
            <w:fldChar w:fldCharType="end"/>
          </w:r>
        </w:p>
      </w:tc>
    </w:tr>
  </w:tbl>
  <w:p w:rsidR="001D624D" w:rsidRPr="00E9094D" w:rsidRDefault="001D624D">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4388"/>
    </w:tblGrid>
    <w:tr w:rsidR="00DD48AB" w:rsidRPr="00DD48AB" w:rsidTr="00414E2B">
      <w:trPr>
        <w:trHeight w:val="550"/>
      </w:trPr>
      <w:tc>
        <w:tcPr>
          <w:tcW w:w="6912" w:type="dxa"/>
          <w:tcBorders>
            <w:top w:val="nil"/>
            <w:left w:val="nil"/>
            <w:bottom w:val="nil"/>
            <w:right w:val="nil"/>
          </w:tcBorders>
          <w:shd w:val="clear" w:color="auto" w:fill="auto"/>
        </w:tcPr>
        <w:p w:rsidR="00DD48AB" w:rsidRDefault="00DD48AB" w:rsidP="00DD48AB">
          <w:pPr>
            <w:spacing w:after="0" w:line="240" w:lineRule="auto"/>
            <w:rPr>
              <w:rFonts w:ascii="Calisto MT" w:hAnsi="Calisto MT"/>
              <w:b/>
              <w:bCs/>
              <w:smallCaps/>
              <w:sz w:val="44"/>
              <w:szCs w:val="44"/>
            </w:rPr>
          </w:pPr>
          <w:r w:rsidRPr="00DD48AB">
            <w:rPr>
              <w:rFonts w:ascii="Calisto MT" w:hAnsi="Calisto MT"/>
              <w:b/>
              <w:bCs/>
              <w:smallCaps/>
              <w:sz w:val="44"/>
              <w:szCs w:val="44"/>
            </w:rPr>
            <w:t xml:space="preserve">Adam </w:t>
          </w:r>
          <w:proofErr w:type="spellStart"/>
          <w:r w:rsidR="004D34FF">
            <w:rPr>
              <w:rFonts w:ascii="Calisto MT" w:hAnsi="Calisto MT"/>
              <w:b/>
              <w:bCs/>
              <w:smallCaps/>
              <w:sz w:val="44"/>
              <w:szCs w:val="44"/>
            </w:rPr>
            <w:t>Eletr</w:t>
          </w:r>
          <w:proofErr w:type="spellEnd"/>
          <w:r>
            <w:rPr>
              <w:rFonts w:ascii="Calisto MT" w:hAnsi="Calisto MT"/>
              <w:b/>
              <w:bCs/>
              <w:smallCaps/>
              <w:sz w:val="44"/>
              <w:szCs w:val="44"/>
            </w:rPr>
            <w:t>.</w:t>
          </w:r>
        </w:p>
        <w:p w:rsidR="00DD48AB" w:rsidRPr="00DD48AB" w:rsidRDefault="00DD48AB" w:rsidP="00DD48AB">
          <w:pPr>
            <w:spacing w:after="0" w:line="240" w:lineRule="auto"/>
            <w:rPr>
              <w:rFonts w:ascii="Calisto MT" w:hAnsi="Calisto MT"/>
              <w:b/>
              <w:bCs/>
              <w:smallCaps/>
              <w:sz w:val="44"/>
              <w:szCs w:val="44"/>
            </w:rPr>
          </w:pPr>
          <w:r w:rsidRPr="00DD48AB">
            <w:rPr>
              <w:rFonts w:ascii="Calisto MT" w:hAnsi="Calisto MT"/>
              <w:sz w:val="34"/>
              <w:szCs w:val="34"/>
            </w:rPr>
            <w:t>Curriculum Vitae</w:t>
          </w:r>
        </w:p>
      </w:tc>
      <w:tc>
        <w:tcPr>
          <w:tcW w:w="4571" w:type="dxa"/>
          <w:tcBorders>
            <w:top w:val="nil"/>
            <w:left w:val="nil"/>
            <w:bottom w:val="nil"/>
            <w:right w:val="nil"/>
          </w:tcBorders>
          <w:shd w:val="clear" w:color="auto" w:fill="auto"/>
        </w:tcPr>
        <w:p w:rsidR="00DD48AB" w:rsidRPr="00DD48AB" w:rsidRDefault="00DD48AB" w:rsidP="00DD48AB">
          <w:pPr>
            <w:spacing w:after="0" w:line="240" w:lineRule="auto"/>
            <w:ind w:left="1302"/>
            <w:rPr>
              <w:rFonts w:cs="Calibri"/>
              <w:sz w:val="20"/>
            </w:rPr>
          </w:pPr>
          <w:r w:rsidRPr="00DD48AB">
            <w:rPr>
              <w:rFonts w:cs="Calibri"/>
              <w:sz w:val="20"/>
            </w:rPr>
            <w:t>1 Neston Close, Wantirna</w:t>
          </w:r>
          <w:r>
            <w:rPr>
              <w:rFonts w:cs="Calibri"/>
              <w:sz w:val="20"/>
            </w:rPr>
            <w:t xml:space="preserve"> </w:t>
          </w:r>
          <w:r w:rsidRPr="00DD48AB">
            <w:rPr>
              <w:rFonts w:cs="Calibri"/>
              <w:sz w:val="20"/>
            </w:rPr>
            <w:t>3152</w:t>
          </w:r>
        </w:p>
        <w:p w:rsidR="00DD48AB" w:rsidRPr="00DD48AB" w:rsidRDefault="00DD48AB" w:rsidP="00DD48AB">
          <w:pPr>
            <w:spacing w:after="0" w:line="240" w:lineRule="auto"/>
            <w:ind w:left="1302"/>
            <w:rPr>
              <w:rFonts w:cs="Calibri"/>
              <w:sz w:val="20"/>
            </w:rPr>
          </w:pPr>
          <w:r w:rsidRPr="00DD48AB">
            <w:rPr>
              <w:rFonts w:cs="Calibri"/>
              <w:sz w:val="20"/>
            </w:rPr>
            <w:t xml:space="preserve">Melbourne – Australia </w:t>
          </w:r>
        </w:p>
        <w:p w:rsidR="00DD48AB" w:rsidRPr="00DD48AB" w:rsidRDefault="00DD48AB" w:rsidP="00DD48AB">
          <w:pPr>
            <w:spacing w:after="0" w:line="240" w:lineRule="auto"/>
            <w:ind w:left="1302"/>
            <w:rPr>
              <w:rFonts w:cs="Calibri"/>
              <w:sz w:val="20"/>
              <w:lang w:val="es-CL"/>
            </w:rPr>
          </w:pPr>
          <w:r w:rsidRPr="00DD48AB">
            <w:rPr>
              <w:rFonts w:cs="Calibri"/>
              <w:sz w:val="20"/>
              <w:lang w:val="es-CL"/>
            </w:rPr>
            <w:t>M: +61 418 777 356</w:t>
          </w:r>
        </w:p>
        <w:p w:rsidR="00DD48AB" w:rsidRPr="00DD48AB" w:rsidRDefault="00DD48AB" w:rsidP="00DD48AB">
          <w:pPr>
            <w:spacing w:after="0" w:line="240" w:lineRule="auto"/>
            <w:ind w:left="1302"/>
            <w:rPr>
              <w:rFonts w:ascii="Arial Narrow" w:hAnsi="Arial Narrow"/>
              <w:sz w:val="40"/>
              <w:szCs w:val="40"/>
              <w:lang w:val="es-CL"/>
            </w:rPr>
          </w:pPr>
          <w:r w:rsidRPr="00DD48AB">
            <w:rPr>
              <w:rFonts w:cs="Calibri"/>
              <w:sz w:val="20"/>
              <w:lang w:val="es-CL"/>
            </w:rPr>
            <w:t xml:space="preserve">E: </w:t>
          </w:r>
          <w:hyperlink r:id="rId1" w:history="1">
            <w:r w:rsidR="000652BB">
              <w:rPr>
                <w:rStyle w:val="Hyperlink"/>
                <w:rFonts w:cs="Calibri"/>
                <w:sz w:val="20"/>
                <w:lang w:val="es-CL"/>
              </w:rPr>
              <w:t>adzeletr@gmail.com</w:t>
            </w:r>
          </w:hyperlink>
        </w:p>
      </w:tc>
    </w:tr>
  </w:tbl>
  <w:p w:rsidR="001D624D" w:rsidRDefault="001D624D">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5831"/>
    <w:multiLevelType w:val="hybridMultilevel"/>
    <w:tmpl w:val="509E511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3317B59"/>
    <w:multiLevelType w:val="multilevel"/>
    <w:tmpl w:val="CF9E925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372D6A1F"/>
    <w:multiLevelType w:val="hybridMultilevel"/>
    <w:tmpl w:val="EEC6A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2492172"/>
    <w:multiLevelType w:val="hybridMultilevel"/>
    <w:tmpl w:val="33A46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A67EE3"/>
    <w:multiLevelType w:val="hybridMultilevel"/>
    <w:tmpl w:val="27569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2EE3934"/>
    <w:multiLevelType w:val="hybridMultilevel"/>
    <w:tmpl w:val="6E6CC81C"/>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E37522"/>
    <w:multiLevelType w:val="singleLevel"/>
    <w:tmpl w:val="552A97E8"/>
    <w:lvl w:ilvl="0">
      <w:start w:val="1"/>
      <w:numFmt w:val="bullet"/>
      <w:pStyle w:val="ListBullet2"/>
      <w:lvlText w:val=""/>
      <w:lvlJc w:val="left"/>
      <w:pPr>
        <w:tabs>
          <w:tab w:val="num" w:pos="567"/>
        </w:tabs>
        <w:ind w:left="567" w:hanging="567"/>
      </w:pPr>
      <w:rPr>
        <w:rFonts w:ascii="Wingdings 2" w:hAnsi="Wingdings 2" w:hint="default"/>
      </w:rPr>
    </w:lvl>
  </w:abstractNum>
  <w:abstractNum w:abstractNumId="7" w15:restartNumberingAfterBreak="0">
    <w:nsid w:val="744A096C"/>
    <w:multiLevelType w:val="hybridMultilevel"/>
    <w:tmpl w:val="A04E36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AFD118C"/>
    <w:multiLevelType w:val="hybridMultilevel"/>
    <w:tmpl w:val="B59EE6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0"/>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26"/>
    <w:rsid w:val="00026B0E"/>
    <w:rsid w:val="000652BB"/>
    <w:rsid w:val="0007778D"/>
    <w:rsid w:val="0010689D"/>
    <w:rsid w:val="001D3F43"/>
    <w:rsid w:val="001D624D"/>
    <w:rsid w:val="0021472B"/>
    <w:rsid w:val="002452FF"/>
    <w:rsid w:val="002472A0"/>
    <w:rsid w:val="0027400D"/>
    <w:rsid w:val="00323DA6"/>
    <w:rsid w:val="0035407C"/>
    <w:rsid w:val="0038433C"/>
    <w:rsid w:val="003B3CC0"/>
    <w:rsid w:val="003F7228"/>
    <w:rsid w:val="004075A9"/>
    <w:rsid w:val="00414E2B"/>
    <w:rsid w:val="00431AF8"/>
    <w:rsid w:val="00446D78"/>
    <w:rsid w:val="00463381"/>
    <w:rsid w:val="004C38CD"/>
    <w:rsid w:val="004D34FF"/>
    <w:rsid w:val="004F6BFF"/>
    <w:rsid w:val="00504BEB"/>
    <w:rsid w:val="006A1247"/>
    <w:rsid w:val="00726CDB"/>
    <w:rsid w:val="007537F7"/>
    <w:rsid w:val="007B2532"/>
    <w:rsid w:val="007B604B"/>
    <w:rsid w:val="007C0F9D"/>
    <w:rsid w:val="00825B63"/>
    <w:rsid w:val="00885397"/>
    <w:rsid w:val="009E3A43"/>
    <w:rsid w:val="009F5094"/>
    <w:rsid w:val="00A02A2A"/>
    <w:rsid w:val="00A83626"/>
    <w:rsid w:val="00A97EA7"/>
    <w:rsid w:val="00AA343D"/>
    <w:rsid w:val="00AB78A8"/>
    <w:rsid w:val="00B07E42"/>
    <w:rsid w:val="00B66FA3"/>
    <w:rsid w:val="00B7677B"/>
    <w:rsid w:val="00C92477"/>
    <w:rsid w:val="00CC57C8"/>
    <w:rsid w:val="00DD48AB"/>
    <w:rsid w:val="00E412F7"/>
    <w:rsid w:val="00E9094D"/>
    <w:rsid w:val="00F06FB2"/>
    <w:rsid w:val="00F31DE3"/>
    <w:rsid w:val="00F468A1"/>
    <w:rsid w:val="00F86C47"/>
    <w:rsid w:val="00FD3A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A2032D"/>
  <w15:docId w15:val="{4160299E-A559-6144-ADDC-AA2FE8B8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okChampa"/>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pPr>
      <w:spacing w:after="200" w:line="276" w:lineRule="auto"/>
    </w:pPr>
    <w:rPr>
      <w:sz w:val="22"/>
      <w:szCs w:val="22"/>
      <w:lang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626"/>
  </w:style>
  <w:style w:type="paragraph" w:styleId="Footer">
    <w:name w:val="footer"/>
    <w:basedOn w:val="Normal"/>
    <w:link w:val="FooterChar"/>
    <w:uiPriority w:val="99"/>
    <w:unhideWhenUsed/>
    <w:rsid w:val="00A8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626"/>
  </w:style>
  <w:style w:type="paragraph" w:styleId="BalloonText">
    <w:name w:val="Balloon Text"/>
    <w:basedOn w:val="Normal"/>
    <w:link w:val="BalloonTextChar"/>
    <w:uiPriority w:val="99"/>
    <w:semiHidden/>
    <w:unhideWhenUsed/>
    <w:rsid w:val="00A836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3626"/>
    <w:rPr>
      <w:rFonts w:ascii="Tahoma" w:hAnsi="Tahoma" w:cs="Tahoma"/>
      <w:sz w:val="16"/>
      <w:szCs w:val="16"/>
    </w:rPr>
  </w:style>
  <w:style w:type="table" w:styleId="TableGrid">
    <w:name w:val="Table Grid"/>
    <w:basedOn w:val="TableNormal"/>
    <w:uiPriority w:val="59"/>
    <w:rsid w:val="00A83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C92477"/>
    <w:pPr>
      <w:ind w:left="720"/>
      <w:contextualSpacing/>
    </w:pPr>
  </w:style>
  <w:style w:type="paragraph" w:styleId="TOC4">
    <w:name w:val="toc 4"/>
    <w:basedOn w:val="TOC3"/>
    <w:next w:val="Normal"/>
    <w:semiHidden/>
    <w:rsid w:val="001D624D"/>
    <w:pPr>
      <w:keepLines/>
      <w:tabs>
        <w:tab w:val="left" w:pos="2268"/>
        <w:tab w:val="right" w:leader="dot" w:pos="8505"/>
      </w:tabs>
      <w:spacing w:after="0" w:line="240" w:lineRule="auto"/>
      <w:ind w:left="2268" w:hanging="567"/>
    </w:pPr>
    <w:rPr>
      <w:rFonts w:ascii="Verdana" w:eastAsia="Times New Roman" w:hAnsi="Verdana" w:cs="Times New Roman"/>
      <w:smallCaps/>
      <w:noProof/>
      <w:sz w:val="16"/>
      <w:szCs w:val="20"/>
      <w:lang w:bidi="ar-SA"/>
    </w:rPr>
  </w:style>
  <w:style w:type="paragraph" w:styleId="TOC3">
    <w:name w:val="toc 3"/>
    <w:basedOn w:val="Normal"/>
    <w:next w:val="Normal"/>
    <w:autoRedefine/>
    <w:uiPriority w:val="39"/>
    <w:semiHidden/>
    <w:unhideWhenUsed/>
    <w:rsid w:val="001D624D"/>
    <w:pPr>
      <w:spacing w:after="100"/>
      <w:ind w:left="440"/>
    </w:pPr>
  </w:style>
  <w:style w:type="paragraph" w:styleId="ListBullet2">
    <w:name w:val="List Bullet 2"/>
    <w:basedOn w:val="ListBullet"/>
    <w:rsid w:val="00AA343D"/>
    <w:pPr>
      <w:keepLines/>
      <w:numPr>
        <w:numId w:val="8"/>
      </w:numPr>
      <w:tabs>
        <w:tab w:val="clear" w:pos="567"/>
        <w:tab w:val="num" w:pos="360"/>
      </w:tabs>
      <w:spacing w:after="0" w:line="360" w:lineRule="auto"/>
      <w:ind w:left="2268" w:hanging="360"/>
      <w:contextualSpacing w:val="0"/>
    </w:pPr>
    <w:rPr>
      <w:rFonts w:ascii="Verdana" w:eastAsia="Times New Roman" w:hAnsi="Verdana" w:cs="Times New Roman"/>
      <w:sz w:val="18"/>
      <w:szCs w:val="20"/>
      <w:lang w:bidi="ar-SA"/>
    </w:rPr>
  </w:style>
  <w:style w:type="paragraph" w:styleId="ListBullet">
    <w:name w:val="List Bullet"/>
    <w:basedOn w:val="Normal"/>
    <w:uiPriority w:val="99"/>
    <w:semiHidden/>
    <w:unhideWhenUsed/>
    <w:rsid w:val="00AA343D"/>
    <w:pPr>
      <w:numPr>
        <w:numId w:val="9"/>
      </w:numPr>
      <w:tabs>
        <w:tab w:val="num" w:pos="360"/>
      </w:tabs>
      <w:ind w:left="0" w:firstLine="0"/>
      <w:contextualSpacing/>
    </w:pPr>
  </w:style>
  <w:style w:type="character" w:styleId="Hyperlink">
    <w:name w:val="Hyperlink"/>
    <w:uiPriority w:val="99"/>
    <w:unhideWhenUsed/>
    <w:rsid w:val="00DD48AB"/>
    <w:rPr>
      <w:color w:val="0563C1"/>
      <w:u w:val="single"/>
    </w:rPr>
  </w:style>
  <w:style w:type="character" w:styleId="UnresolvedMention">
    <w:name w:val="Unresolved Mention"/>
    <w:uiPriority w:val="47"/>
    <w:rsid w:val="00DD48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2.xml.rels><?xml version="1.0" encoding="UTF-8" standalone="yes"?>
<Relationships xmlns="http://schemas.openxmlformats.org/package/2006/relationships"><Relationship Id="rId1" Type="http://schemas.openxmlformats.org/officeDocument/2006/relationships/hyperlink" Target="mailto:adzeletr@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PanAust Limited</Company>
  <LinksUpToDate>false</LinksUpToDate>
  <CharactersWithSpaces>9634</CharactersWithSpaces>
  <SharedDoc>false</SharedDoc>
  <HLinks>
    <vt:vector size="6" baseType="variant">
      <vt:variant>
        <vt:i4>8126534</vt:i4>
      </vt:variant>
      <vt:variant>
        <vt:i4>6</vt:i4>
      </vt:variant>
      <vt:variant>
        <vt:i4>0</vt:i4>
      </vt:variant>
      <vt:variant>
        <vt:i4>5</vt:i4>
      </vt:variant>
      <vt:variant>
        <vt:lpwstr>mailto:adzhaddad@gmail.com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Haddad</dc:creator>
  <cp:keywords/>
  <cp:lastModifiedBy/>
  <cp:revision>2</cp:revision>
  <dcterms:created xsi:type="dcterms:W3CDTF">2018-03-27T21:45:00Z</dcterms:created>
  <dcterms:modified xsi:type="dcterms:W3CDTF">2018-03-27T21:45:00Z</dcterms:modified>
</cp:coreProperties>
</file>